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7" w:rsidRPr="001B24A8" w:rsidRDefault="001D380E" w:rsidP="00EE0FC7">
      <w:pPr>
        <w:ind w:firstLine="708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</w:t>
      </w:r>
      <w:r w:rsidR="00EE0FC7" w:rsidRPr="001B24A8">
        <w:rPr>
          <w:noProof/>
          <w:szCs w:val="24"/>
        </w:rPr>
        <w:drawing>
          <wp:inline distT="0" distB="0" distL="0" distR="0" wp14:anchorId="2DF07247" wp14:editId="7C5CE5FB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1B24A8" w:rsidRDefault="00EE0FC7" w:rsidP="00EE0FC7">
      <w:pPr>
        <w:rPr>
          <w:rFonts w:cs="Arial"/>
          <w:bCs/>
          <w:szCs w:val="24"/>
        </w:rPr>
      </w:pPr>
      <w:r w:rsidRPr="001B24A8">
        <w:rPr>
          <w:rFonts w:cs="Arial"/>
          <w:bCs/>
          <w:szCs w:val="24"/>
        </w:rPr>
        <w:t>REPUBLIKA HRVATSKA</w:t>
      </w:r>
    </w:p>
    <w:p w:rsidR="00EE0FC7" w:rsidRPr="001B24A8" w:rsidRDefault="00EE0FC7" w:rsidP="00EE0FC7">
      <w:pPr>
        <w:pBdr>
          <w:bottom w:val="single" w:sz="4" w:space="1" w:color="auto"/>
        </w:pBdr>
        <w:rPr>
          <w:rFonts w:cs="Arial"/>
          <w:bCs/>
          <w:szCs w:val="24"/>
        </w:rPr>
      </w:pPr>
      <w:r w:rsidRPr="001B24A8">
        <w:rPr>
          <w:rFonts w:cs="Arial"/>
          <w:bCs/>
          <w:szCs w:val="24"/>
        </w:rPr>
        <w:t>DRŽAVNI URED ZA REVIZIJU</w:t>
      </w:r>
    </w:p>
    <w:p w:rsidR="00EE0FC7" w:rsidRDefault="00942367" w:rsidP="00EE0FC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K</w:t>
      </w:r>
      <w:r w:rsidR="00C239F6">
        <w:rPr>
          <w:rFonts w:cs="Arial"/>
          <w:bCs/>
          <w:szCs w:val="24"/>
        </w:rPr>
        <w:t>LASA</w:t>
      </w:r>
      <w:r>
        <w:rPr>
          <w:rFonts w:cs="Arial"/>
          <w:bCs/>
          <w:szCs w:val="24"/>
        </w:rPr>
        <w:t>:</w:t>
      </w:r>
      <w:r w:rsidR="00AA4A3D">
        <w:rPr>
          <w:rFonts w:cs="Arial"/>
          <w:bCs/>
          <w:szCs w:val="24"/>
        </w:rPr>
        <w:t xml:space="preserve"> 041-01/13-12/1</w:t>
      </w:r>
    </w:p>
    <w:p w:rsidR="00942367" w:rsidRDefault="00942367" w:rsidP="00EE0FC7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</w:t>
      </w:r>
      <w:r w:rsidR="00C239F6">
        <w:rPr>
          <w:rFonts w:cs="Arial"/>
          <w:bCs/>
          <w:szCs w:val="24"/>
        </w:rPr>
        <w:t>RBROJ</w:t>
      </w:r>
      <w:r>
        <w:rPr>
          <w:rFonts w:cs="Arial"/>
          <w:bCs/>
          <w:szCs w:val="24"/>
        </w:rPr>
        <w:t>:</w:t>
      </w:r>
      <w:r w:rsidR="00AA4A3D">
        <w:rPr>
          <w:rFonts w:cs="Arial"/>
          <w:bCs/>
          <w:szCs w:val="24"/>
        </w:rPr>
        <w:t xml:space="preserve"> 613-01-</w:t>
      </w:r>
      <w:proofErr w:type="spellStart"/>
      <w:r w:rsidR="00AA4A3D">
        <w:rPr>
          <w:rFonts w:cs="Arial"/>
          <w:bCs/>
          <w:szCs w:val="24"/>
        </w:rPr>
        <w:t>01</w:t>
      </w:r>
      <w:proofErr w:type="spellEnd"/>
      <w:r w:rsidR="00AA4A3D">
        <w:rPr>
          <w:rFonts w:cs="Arial"/>
          <w:bCs/>
          <w:szCs w:val="24"/>
        </w:rPr>
        <w:t>-13-1</w:t>
      </w:r>
    </w:p>
    <w:p w:rsidR="00942367" w:rsidRPr="001B24A8" w:rsidRDefault="00942367" w:rsidP="00EE0FC7">
      <w:pPr>
        <w:rPr>
          <w:rFonts w:cs="Arial"/>
          <w:bCs/>
          <w:szCs w:val="24"/>
        </w:rPr>
      </w:pPr>
    </w:p>
    <w:p w:rsidR="00EE0FC7" w:rsidRPr="001B24A8" w:rsidRDefault="001B24A8" w:rsidP="00EE0FC7">
      <w:pPr>
        <w:pStyle w:val="Naslov1"/>
        <w:rPr>
          <w:szCs w:val="24"/>
        </w:rPr>
      </w:pPr>
      <w:r>
        <w:rPr>
          <w:szCs w:val="24"/>
        </w:rPr>
        <w:t>Zagreb, 2</w:t>
      </w:r>
      <w:r w:rsidR="004B4777">
        <w:rPr>
          <w:szCs w:val="24"/>
        </w:rPr>
        <w:t>8</w:t>
      </w:r>
      <w:r>
        <w:rPr>
          <w:szCs w:val="24"/>
        </w:rPr>
        <w:t>. siječnja 2013.</w:t>
      </w:r>
    </w:p>
    <w:p w:rsidR="00DA3DFD" w:rsidRDefault="00DA3DFD"/>
    <w:p w:rsidR="001B24A8" w:rsidRDefault="001B24A8"/>
    <w:p w:rsidR="0008671B" w:rsidRDefault="0008671B"/>
    <w:p w:rsidR="0008671B" w:rsidRDefault="0008671B"/>
    <w:p w:rsidR="001B24A8" w:rsidRPr="0074715C" w:rsidRDefault="007A08B1" w:rsidP="007A08B1">
      <w:pPr>
        <w:jc w:val="center"/>
        <w:rPr>
          <w:b/>
        </w:rPr>
      </w:pPr>
      <w:r w:rsidRPr="0074715C">
        <w:rPr>
          <w:b/>
        </w:rPr>
        <w:t xml:space="preserve">OBAVIJEST </w:t>
      </w:r>
      <w:r w:rsidR="004B4777">
        <w:rPr>
          <w:b/>
        </w:rPr>
        <w:t>NEPROFITNIM ORGANIZACIJAMA O</w:t>
      </w:r>
      <w:r w:rsidRPr="0074715C">
        <w:rPr>
          <w:b/>
        </w:rPr>
        <w:t xml:space="preserve"> SASTAVLJANJ</w:t>
      </w:r>
      <w:r w:rsidR="004B4777">
        <w:rPr>
          <w:b/>
        </w:rPr>
        <w:t xml:space="preserve">U </w:t>
      </w:r>
      <w:r w:rsidRPr="0074715C">
        <w:rPr>
          <w:b/>
        </w:rPr>
        <w:t>I DOSTAVLJANJ</w:t>
      </w:r>
      <w:r w:rsidR="004B4777">
        <w:rPr>
          <w:b/>
        </w:rPr>
        <w:t xml:space="preserve">U </w:t>
      </w:r>
      <w:r w:rsidRPr="0074715C">
        <w:rPr>
          <w:b/>
        </w:rPr>
        <w:t xml:space="preserve">FINANCIJSKIH IZVJEŠTAJA </w:t>
      </w:r>
      <w:r w:rsidR="00886A13">
        <w:rPr>
          <w:b/>
        </w:rPr>
        <w:t xml:space="preserve">ZA 2012. </w:t>
      </w:r>
    </w:p>
    <w:p w:rsidR="0008671B" w:rsidRDefault="0008671B" w:rsidP="007A08B1"/>
    <w:p w:rsidR="0008671B" w:rsidRDefault="0008671B" w:rsidP="007A08B1"/>
    <w:p w:rsidR="0074715C" w:rsidRDefault="0074715C" w:rsidP="0074715C">
      <w:pPr>
        <w:ind w:firstLine="708"/>
      </w:pPr>
      <w:r>
        <w:t xml:space="preserve">Prema odredbama članka 2. </w:t>
      </w:r>
      <w:r w:rsidR="007A08B1">
        <w:t>Uredbe o računovodstvu neprofitnih organizacija (Narodne novine 10/08 i 7/09), obveznici primjene neprofitnog računovodstva su: udruge i njihovi savezi,</w:t>
      </w:r>
      <w:r>
        <w:t xml:space="preserve"> strane udruge, zaklade, fondacije, ustanove, političke stranke, komore, sindikati, vjerske i druge pravne osobe kojima temeljni cilj osnivanja i djelovanja nije stjecanje dobiti/profita, za koje iz posebnih propisa proizlazi da su neprofitne organizacije i koje su upisane u Registru neprofitnih organizacija. </w:t>
      </w:r>
      <w:r w:rsidR="00BE31B8">
        <w:t xml:space="preserve">Navedeni </w:t>
      </w:r>
      <w:r w:rsidR="00C239F6">
        <w:t>R</w:t>
      </w:r>
      <w:r w:rsidR="00BE31B8">
        <w:t>egistar, čiji je sadržaj i način vođenja propisan odredbama članaka 72.a do 72.d Uredbe o računovodstvu neprofitnih organizacija, vodi se u Ministarstvu financija</w:t>
      </w:r>
      <w:r w:rsidR="00A66DFA">
        <w:t xml:space="preserve"> (</w:t>
      </w:r>
      <w:hyperlink r:id="rId7" w:history="1">
        <w:r w:rsidR="00A66DFA" w:rsidRPr="00857162">
          <w:rPr>
            <w:rStyle w:val="Hiperveza"/>
          </w:rPr>
          <w:t>http://www.mfin.hr/hr/neprofitno-racunovodstvo</w:t>
        </w:r>
      </w:hyperlink>
      <w:r w:rsidR="00A66DFA">
        <w:t>)</w:t>
      </w:r>
      <w:r w:rsidR="006A4270">
        <w:t>.</w:t>
      </w:r>
      <w:r w:rsidR="00A66DFA">
        <w:t xml:space="preserve"> </w:t>
      </w:r>
    </w:p>
    <w:p w:rsidR="006A4270" w:rsidRDefault="006A4270" w:rsidP="0074715C">
      <w:pPr>
        <w:ind w:firstLine="708"/>
      </w:pPr>
    </w:p>
    <w:p w:rsidR="006A4270" w:rsidRDefault="0023784D" w:rsidP="0074715C">
      <w:pPr>
        <w:ind w:firstLine="708"/>
      </w:pPr>
      <w:r>
        <w:t xml:space="preserve">Obveznici sastavljanja financijskih izvještaja, prema odredbama članka 70. Uredbe o računovodstvu neprofitnih organizacija, predaju financijske izvještaje za poslovnu godinu </w:t>
      </w:r>
      <w:r w:rsidRPr="008E0625">
        <w:rPr>
          <w:b/>
        </w:rPr>
        <w:t>u elektronskom i papirnatom obliku</w:t>
      </w:r>
      <w:r>
        <w:t xml:space="preserve"> </w:t>
      </w:r>
      <w:r w:rsidRPr="0023784D">
        <w:rPr>
          <w:b/>
        </w:rPr>
        <w:t>Državnom uredu za reviziju</w:t>
      </w:r>
      <w:r>
        <w:t xml:space="preserve">, u roku 60 dana od isteka izvještajnog razdoblja, odnosno zaključno s </w:t>
      </w:r>
      <w:r w:rsidR="00FA7635" w:rsidRPr="00FA7635">
        <w:rPr>
          <w:b/>
        </w:rPr>
        <w:t>1. ožujk</w:t>
      </w:r>
      <w:r w:rsidR="00C239F6">
        <w:rPr>
          <w:b/>
        </w:rPr>
        <w:t>om</w:t>
      </w:r>
      <w:r w:rsidR="00FA7635" w:rsidRPr="00FA7635">
        <w:rPr>
          <w:b/>
        </w:rPr>
        <w:t xml:space="preserve"> 2013.</w:t>
      </w:r>
      <w:r w:rsidR="00C239F6">
        <w:rPr>
          <w:b/>
        </w:rPr>
        <w:t>,</w:t>
      </w:r>
      <w:r w:rsidR="00FA7635" w:rsidRPr="00FA7635">
        <w:rPr>
          <w:b/>
        </w:rPr>
        <w:t xml:space="preserve"> </w:t>
      </w:r>
      <w:r w:rsidR="00FA7635">
        <w:rPr>
          <w:b/>
        </w:rPr>
        <w:t>p</w:t>
      </w:r>
      <w:r w:rsidR="00FA7635" w:rsidRPr="00FA7635">
        <w:rPr>
          <w:b/>
        </w:rPr>
        <w:t>etak</w:t>
      </w:r>
      <w:r w:rsidR="00FA7635">
        <w:rPr>
          <w:b/>
        </w:rPr>
        <w:t xml:space="preserve"> </w:t>
      </w:r>
      <w:r w:rsidR="00FA7635">
        <w:t>(zadnji dan zaprimanja izvještaja u propisanom roku).</w:t>
      </w:r>
      <w:r w:rsidR="00597D25">
        <w:t xml:space="preserve"> Osim Državnom uredu za reviziju, financijski izvještaji se predaju i </w:t>
      </w:r>
      <w:r>
        <w:t>FINI – instituciji ovlaštenoj za obradu podataka za potrebe Ministarstva financija</w:t>
      </w:r>
      <w:r w:rsidR="00680BE7">
        <w:t>.</w:t>
      </w:r>
    </w:p>
    <w:p w:rsidR="005B3B50" w:rsidRDefault="00597D25" w:rsidP="0074715C">
      <w:pPr>
        <w:ind w:firstLine="708"/>
      </w:pPr>
      <w:r>
        <w:t xml:space="preserve">Državnom uredu za reviziju se dostavljaju sljedeći financijski izvještaji: </w:t>
      </w:r>
      <w:r w:rsidRPr="00597D25">
        <w:rPr>
          <w:b/>
        </w:rPr>
        <w:t>bilanca (obrazac BIL-NPF), izvještaj o prihodima i rashodima (obrazac PR-RAS-NPF), te bilješke uz financijske izvještaje</w:t>
      </w:r>
      <w:r w:rsidR="005B3B50">
        <w:rPr>
          <w:b/>
        </w:rPr>
        <w:t xml:space="preserve"> </w:t>
      </w:r>
      <w:r w:rsidR="005B3B50" w:rsidRPr="00E67D8E">
        <w:t>(</w:t>
      </w:r>
      <w:r w:rsidR="005B3B50" w:rsidRPr="005B3B50">
        <w:t>detaljna</w:t>
      </w:r>
      <w:r w:rsidR="005B3B50">
        <w:t xml:space="preserve"> razrada i dopuna podataka iz bilance i izvještaja o prihodima i rashodima)</w:t>
      </w:r>
      <w:r>
        <w:t xml:space="preserve">. </w:t>
      </w:r>
    </w:p>
    <w:p w:rsidR="00E67D8E" w:rsidRDefault="00E67D8E" w:rsidP="0074715C">
      <w:pPr>
        <w:ind w:firstLine="708"/>
      </w:pPr>
    </w:p>
    <w:p w:rsidR="0074715C" w:rsidRDefault="005B3B50" w:rsidP="005B3B50">
      <w:pPr>
        <w:ind w:firstLine="708"/>
      </w:pPr>
      <w:r>
        <w:t>Obrasci financijskih izvještaja i upute za popunjavanje objavljuju se na web stranici Državnog ureda za reviziju, Ministarstva financija i FINE (</w:t>
      </w:r>
      <w:hyperlink r:id="rId8" w:history="1">
        <w:r w:rsidRPr="00857162">
          <w:rPr>
            <w:rStyle w:val="Hiperveza"/>
          </w:rPr>
          <w:t>http://www.mfin.hr/hr/neprofitno-racunovodstvo</w:t>
        </w:r>
      </w:hyperlink>
      <w:r>
        <w:t xml:space="preserve">). Popunjeni obrasci se dostavljaju </w:t>
      </w:r>
      <w:r w:rsidR="00902AA3">
        <w:t xml:space="preserve">osobno ili poštom </w:t>
      </w:r>
      <w:r>
        <w:t>u Središnji ured Državnog ureda za reviziju (adres</w:t>
      </w:r>
      <w:r w:rsidR="00902AA3">
        <w:t>a</w:t>
      </w:r>
      <w:r>
        <w:t xml:space="preserve">: </w:t>
      </w:r>
      <w:r w:rsidRPr="005B3B50">
        <w:rPr>
          <w:b/>
        </w:rPr>
        <w:t xml:space="preserve">Državni ured za reviziju, </w:t>
      </w:r>
      <w:proofErr w:type="spellStart"/>
      <w:r w:rsidRPr="005B3B50">
        <w:rPr>
          <w:b/>
        </w:rPr>
        <w:t>Tkalčićeva</w:t>
      </w:r>
      <w:proofErr w:type="spellEnd"/>
      <w:r w:rsidRPr="005B3B50">
        <w:rPr>
          <w:b/>
        </w:rPr>
        <w:t xml:space="preserve"> 19, 10 000 Zagreb</w:t>
      </w:r>
      <w:r>
        <w:t xml:space="preserve">) ili njegove područne urede (adrese </w:t>
      </w:r>
      <w:r w:rsidRPr="00A66DFA">
        <w:rPr>
          <w:b/>
        </w:rPr>
        <w:t>područnih ureda</w:t>
      </w:r>
      <w:r>
        <w:t xml:space="preserve"> </w:t>
      </w:r>
      <w:r w:rsidR="00A66DFA" w:rsidRPr="00E67D8E">
        <w:rPr>
          <w:b/>
        </w:rPr>
        <w:t>po županijama</w:t>
      </w:r>
      <w:r w:rsidR="00A66DFA">
        <w:t xml:space="preserve"> </w:t>
      </w:r>
      <w:r>
        <w:t xml:space="preserve">su dostupne na </w:t>
      </w:r>
      <w:r w:rsidR="00E67D8E">
        <w:t xml:space="preserve">web </w:t>
      </w:r>
      <w:r>
        <w:t xml:space="preserve">stranici </w:t>
      </w:r>
      <w:r w:rsidR="00C239F6">
        <w:t xml:space="preserve">Državnog ureda za reviziju </w:t>
      </w:r>
      <w:hyperlink r:id="rId9" w:history="1">
        <w:r w:rsidRPr="00857162">
          <w:rPr>
            <w:rStyle w:val="Hiperveza"/>
          </w:rPr>
          <w:t>http://www.revizija.hr/hr/kontakt/</w:t>
        </w:r>
      </w:hyperlink>
      <w:r>
        <w:t>).</w:t>
      </w:r>
    </w:p>
    <w:p w:rsidR="00A66DFA" w:rsidRDefault="00A66DFA" w:rsidP="005B3B50">
      <w:pPr>
        <w:ind w:firstLine="708"/>
      </w:pPr>
    </w:p>
    <w:p w:rsidR="00680BE7" w:rsidRDefault="00680BE7" w:rsidP="005B3B50">
      <w:pPr>
        <w:ind w:firstLine="708"/>
      </w:pPr>
    </w:p>
    <w:p w:rsidR="00680BE7" w:rsidRDefault="00680BE7" w:rsidP="005B3B50">
      <w:pPr>
        <w:ind w:firstLine="708"/>
      </w:pPr>
    </w:p>
    <w:p w:rsidR="00680BE7" w:rsidRDefault="00680BE7" w:rsidP="005B3B50">
      <w:pPr>
        <w:ind w:firstLine="708"/>
      </w:pPr>
    </w:p>
    <w:p w:rsidR="00A66DFA" w:rsidRDefault="00A66DFA" w:rsidP="005B3B50">
      <w:pPr>
        <w:ind w:firstLine="708"/>
      </w:pPr>
      <w:r>
        <w:lastRenderedPageBreak/>
        <w:t>Neprofitne organizacije prema odredbama članka 71. Uredbe o računovodstvu</w:t>
      </w:r>
      <w:r w:rsidR="00C239F6">
        <w:t xml:space="preserve"> neprofitnih organizacija</w:t>
      </w:r>
      <w:r>
        <w:t xml:space="preserve"> </w:t>
      </w:r>
      <w:r w:rsidRPr="00A66DFA">
        <w:rPr>
          <w:b/>
        </w:rPr>
        <w:t>nisu obvezne sastavljati i predavati financijske izvještaje ako je</w:t>
      </w:r>
      <w:r>
        <w:t>:</w:t>
      </w:r>
    </w:p>
    <w:p w:rsidR="00A66DFA" w:rsidRDefault="00A66DFA" w:rsidP="00A66DFA">
      <w:pPr>
        <w:pStyle w:val="Odlomakpopisa"/>
        <w:numPr>
          <w:ilvl w:val="0"/>
          <w:numId w:val="1"/>
        </w:numPr>
      </w:pPr>
      <w:r>
        <w:t xml:space="preserve">vrijednost njihove </w:t>
      </w:r>
      <w:r w:rsidRPr="007A6149">
        <w:rPr>
          <w:b/>
        </w:rPr>
        <w:t>imovine</w:t>
      </w:r>
      <w:r>
        <w:t xml:space="preserve"> uzastopno u prethodne tri godine manja od 100.000,00 kn na razini godine i </w:t>
      </w:r>
    </w:p>
    <w:p w:rsidR="00A66DFA" w:rsidRDefault="00A66DFA" w:rsidP="00A66DFA">
      <w:pPr>
        <w:pStyle w:val="Odlomakpopisa"/>
        <w:numPr>
          <w:ilvl w:val="0"/>
          <w:numId w:val="1"/>
        </w:numPr>
      </w:pPr>
      <w:r w:rsidRPr="007A6149">
        <w:rPr>
          <w:b/>
        </w:rPr>
        <w:t>godišnji prihod</w:t>
      </w:r>
      <w:r>
        <w:t xml:space="preserve"> uzastopno u prethodne tri godine manji od 100.000,00 kn na razini godine.</w:t>
      </w:r>
    </w:p>
    <w:p w:rsidR="00942367" w:rsidRDefault="00942367" w:rsidP="00942367">
      <w:pPr>
        <w:pStyle w:val="Odlomakpopisa"/>
        <w:ind w:left="1068"/>
      </w:pPr>
    </w:p>
    <w:p w:rsidR="00C37D0A" w:rsidRDefault="00C37D0A" w:rsidP="0008671B">
      <w:pPr>
        <w:ind w:firstLine="708"/>
      </w:pPr>
      <w:r>
        <w:t xml:space="preserve">Odluku o navedenom donosi osnivač neprofitne organizacije, za tekuću poslovnu godinu u roku predviđenom za podnošenje financijskih izvještaja </w:t>
      </w:r>
      <w:r w:rsidR="00E67D8E">
        <w:t xml:space="preserve">za prethodnu poslovnu godinu, a o nastaloj promjeni izvještava Ministarstvo financija, u roku dva dana od upisa promjene u matični registar ili na obrascu Promjene u Registru neprofitnih organizacija, ako se promjena ne upisuje u roku dva dana (odredbe članka 72.c Uredbe o računovodstvu neprofitnih organizacija). </w:t>
      </w:r>
    </w:p>
    <w:p w:rsidR="00942367" w:rsidRDefault="00942367" w:rsidP="0008671B">
      <w:pPr>
        <w:ind w:firstLine="708"/>
      </w:pPr>
    </w:p>
    <w:p w:rsidR="00A66DFA" w:rsidRDefault="00E67D8E" w:rsidP="00680BE7">
      <w:pPr>
        <w:jc w:val="left"/>
      </w:pPr>
      <w:r w:rsidRPr="00942367">
        <w:rPr>
          <w:b/>
          <w:i/>
        </w:rPr>
        <w:t>NAPOMENA</w:t>
      </w:r>
      <w:r w:rsidRPr="00942367">
        <w:rPr>
          <w:i/>
        </w:rPr>
        <w:t xml:space="preserve"> </w:t>
      </w:r>
      <w:r w:rsidR="00BE1B21" w:rsidRPr="00942367">
        <w:rPr>
          <w:i/>
        </w:rPr>
        <w:t>–</w:t>
      </w:r>
      <w:r w:rsidRPr="00942367">
        <w:rPr>
          <w:i/>
        </w:rPr>
        <w:t xml:space="preserve"> n</w:t>
      </w:r>
      <w:r w:rsidR="007A6149" w:rsidRPr="00942367">
        <w:rPr>
          <w:i/>
        </w:rPr>
        <w:t>eprofitne organizacije osnovane nakon 1. siječnja 2009. (osnovane 2010., 2011. i</w:t>
      </w:r>
      <w:r w:rsidR="00C239F6">
        <w:rPr>
          <w:i/>
        </w:rPr>
        <w:t>li</w:t>
      </w:r>
      <w:r w:rsidR="007A6149" w:rsidRPr="00942367">
        <w:rPr>
          <w:i/>
        </w:rPr>
        <w:t xml:space="preserve"> 2012.), prema uputama Ministarstva financija dužne su voditi dvojno knjigovodstvo, te sastavljati i predavati financijske izvještaje sljedeće tri godine</w:t>
      </w:r>
      <w:r w:rsidR="00C239F6">
        <w:rPr>
          <w:i/>
        </w:rPr>
        <w:t>,</w:t>
      </w:r>
      <w:r w:rsidR="007A6149" w:rsidRPr="00942367">
        <w:rPr>
          <w:i/>
        </w:rPr>
        <w:t xml:space="preserve"> neovisno o visini</w:t>
      </w:r>
      <w:r w:rsidR="00680BE7">
        <w:rPr>
          <w:i/>
        </w:rPr>
        <w:t xml:space="preserve"> </w:t>
      </w:r>
      <w:r w:rsidR="007A6149" w:rsidRPr="00942367">
        <w:rPr>
          <w:i/>
        </w:rPr>
        <w:t xml:space="preserve"> prihoda i imovine</w:t>
      </w:r>
      <w:r w:rsidR="00C239F6">
        <w:rPr>
          <w:i/>
        </w:rPr>
        <w:t xml:space="preserve"> </w:t>
      </w:r>
      <w:r w:rsidR="00C37D0A">
        <w:t xml:space="preserve"> </w:t>
      </w:r>
      <w:bookmarkStart w:id="0" w:name="_GoBack"/>
      <w:bookmarkEnd w:id="0"/>
      <w:r w:rsidR="00680BE7">
        <w:fldChar w:fldCharType="begin"/>
      </w:r>
      <w:r w:rsidR="00680BE7">
        <w:instrText xml:space="preserve"> HYPERLINK "http://www.mfin.hr/adminmax/docs/Uputa%20o%20primjeni%20clanka%2071.%20%20Uredbe%20o%20racunovodstvu%20neprofitnih%20organizacija.pdf" </w:instrText>
      </w:r>
      <w:r w:rsidR="00680BE7">
        <w:fldChar w:fldCharType="separate"/>
      </w:r>
      <w:r w:rsidR="007A6149" w:rsidRPr="00857162">
        <w:rPr>
          <w:rStyle w:val="Hiperveza"/>
        </w:rPr>
        <w:t>http://www.mfin.hr/adminmax/docs/Uputa%20o%20primjeni%20clanka%2071.%20%20Uredbe%20o%20racunovodstvu%20neprofitnih%20organizacija.pdf</w:t>
      </w:r>
      <w:r w:rsidR="00680BE7">
        <w:rPr>
          <w:rStyle w:val="Hiperveza"/>
        </w:rPr>
        <w:fldChar w:fldCharType="end"/>
      </w:r>
      <w:r w:rsidR="007A6149">
        <w:t>).</w:t>
      </w:r>
    </w:p>
    <w:p w:rsidR="00902AA3" w:rsidRDefault="00902AA3" w:rsidP="00E67D8E"/>
    <w:p w:rsidR="00FF4F73" w:rsidRDefault="00FF4F73" w:rsidP="00E67D8E"/>
    <w:p w:rsidR="0008671B" w:rsidRDefault="00902AA3" w:rsidP="00D15877">
      <w:pPr>
        <w:rPr>
          <w:rFonts w:ascii="Times New Roman" w:eastAsiaTheme="minorHAnsi" w:hAnsi="Times New Roman"/>
          <w:b/>
          <w:bCs/>
          <w:szCs w:val="24"/>
          <w:lang w:eastAsia="en-US"/>
        </w:rPr>
      </w:pPr>
      <w:r>
        <w:tab/>
      </w:r>
    </w:p>
    <w:p w:rsidR="0008671B" w:rsidRPr="00C239F6" w:rsidRDefault="00942367" w:rsidP="00A66DFA">
      <w:pPr>
        <w:overflowPunct/>
        <w:jc w:val="left"/>
        <w:rPr>
          <w:rFonts w:eastAsiaTheme="minorHAnsi" w:cs="Arial"/>
          <w:bCs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 w:rsidRPr="00C239F6">
        <w:rPr>
          <w:rFonts w:eastAsiaTheme="minorHAnsi" w:cs="Arial"/>
          <w:bCs/>
          <w:szCs w:val="24"/>
          <w:lang w:eastAsia="en-US"/>
        </w:rPr>
        <w:t>GLAVNI DRŽAVNI REVIZOR</w:t>
      </w: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Pr="00942367" w:rsidRDefault="00942367" w:rsidP="00A66DFA">
      <w:pPr>
        <w:overflowPunct/>
        <w:jc w:val="left"/>
        <w:rPr>
          <w:rFonts w:eastAsiaTheme="minorHAnsi" w:cs="Arial"/>
          <w:bCs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>
        <w:rPr>
          <w:rFonts w:ascii="Times New Roman" w:eastAsiaTheme="minorHAnsi" w:hAnsi="Times New Roman"/>
          <w:b/>
          <w:bCs/>
          <w:szCs w:val="24"/>
          <w:lang w:eastAsia="en-US"/>
        </w:rPr>
        <w:tab/>
      </w:r>
      <w:r w:rsidR="00C239F6">
        <w:rPr>
          <w:rFonts w:eastAsiaTheme="minorHAnsi" w:cs="Arial"/>
          <w:bCs/>
          <w:szCs w:val="24"/>
          <w:lang w:eastAsia="en-US"/>
        </w:rPr>
        <w:t>mr</w:t>
      </w:r>
      <w:r w:rsidRPr="00942367">
        <w:rPr>
          <w:rFonts w:eastAsiaTheme="minorHAnsi" w:cs="Arial"/>
          <w:bCs/>
          <w:szCs w:val="24"/>
          <w:lang w:eastAsia="en-US"/>
        </w:rPr>
        <w:t xml:space="preserve">. Ivan </w:t>
      </w:r>
      <w:proofErr w:type="spellStart"/>
      <w:r w:rsidRPr="00942367">
        <w:rPr>
          <w:rFonts w:eastAsiaTheme="minorHAnsi" w:cs="Arial"/>
          <w:bCs/>
          <w:szCs w:val="24"/>
          <w:lang w:eastAsia="en-US"/>
        </w:rPr>
        <w:t>Klešić</w:t>
      </w:r>
      <w:proofErr w:type="spellEnd"/>
      <w:r w:rsidRPr="00942367">
        <w:rPr>
          <w:rFonts w:eastAsiaTheme="minorHAnsi" w:cs="Arial"/>
          <w:bCs/>
          <w:szCs w:val="24"/>
          <w:lang w:eastAsia="en-US"/>
        </w:rPr>
        <w:t>, dipl. oec., v.r.</w:t>
      </w:r>
    </w:p>
    <w:p w:rsidR="0008671B" w:rsidRPr="00942367" w:rsidRDefault="0008671B" w:rsidP="00A66DFA">
      <w:pPr>
        <w:overflowPunct/>
        <w:jc w:val="left"/>
        <w:rPr>
          <w:rFonts w:ascii="Times New Roman" w:eastAsiaTheme="minorHAnsi" w:hAnsi="Times New Roman"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szCs w:val="24"/>
          <w:lang w:eastAsia="en-US"/>
        </w:rPr>
      </w:pPr>
    </w:p>
    <w:sectPr w:rsidR="0008671B" w:rsidSect="003E123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7"/>
    <w:rsid w:val="0000633D"/>
    <w:rsid w:val="0008671B"/>
    <w:rsid w:val="000B3531"/>
    <w:rsid w:val="00162A86"/>
    <w:rsid w:val="00172EEA"/>
    <w:rsid w:val="001B24A8"/>
    <w:rsid w:val="001C4696"/>
    <w:rsid w:val="001D380E"/>
    <w:rsid w:val="0023784D"/>
    <w:rsid w:val="00323B30"/>
    <w:rsid w:val="0038773B"/>
    <w:rsid w:val="003E123E"/>
    <w:rsid w:val="004B4777"/>
    <w:rsid w:val="005651B4"/>
    <w:rsid w:val="00597D25"/>
    <w:rsid w:val="005B3B50"/>
    <w:rsid w:val="005F0B53"/>
    <w:rsid w:val="00680BE7"/>
    <w:rsid w:val="00697C24"/>
    <w:rsid w:val="006A4270"/>
    <w:rsid w:val="00717513"/>
    <w:rsid w:val="0074715C"/>
    <w:rsid w:val="007A08B1"/>
    <w:rsid w:val="007A6149"/>
    <w:rsid w:val="00823B71"/>
    <w:rsid w:val="00886A13"/>
    <w:rsid w:val="008874A4"/>
    <w:rsid w:val="008B72EC"/>
    <w:rsid w:val="008E0625"/>
    <w:rsid w:val="00902AA3"/>
    <w:rsid w:val="00942367"/>
    <w:rsid w:val="009D3C69"/>
    <w:rsid w:val="00A27FDF"/>
    <w:rsid w:val="00A66DFA"/>
    <w:rsid w:val="00AA4A3D"/>
    <w:rsid w:val="00B52386"/>
    <w:rsid w:val="00BC4BF9"/>
    <w:rsid w:val="00BD1920"/>
    <w:rsid w:val="00BD2D55"/>
    <w:rsid w:val="00BE1B21"/>
    <w:rsid w:val="00BE31B8"/>
    <w:rsid w:val="00C103EF"/>
    <w:rsid w:val="00C239F6"/>
    <w:rsid w:val="00C2646C"/>
    <w:rsid w:val="00C37D0A"/>
    <w:rsid w:val="00D15877"/>
    <w:rsid w:val="00D561DA"/>
    <w:rsid w:val="00DA3DFD"/>
    <w:rsid w:val="00DB68F8"/>
    <w:rsid w:val="00E67D8E"/>
    <w:rsid w:val="00E84DD3"/>
    <w:rsid w:val="00E8590D"/>
    <w:rsid w:val="00EB1BF2"/>
    <w:rsid w:val="00EE0FC7"/>
    <w:rsid w:val="00F714EA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hr/hr/neprofitno-racunovodst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in.hr/hr/neprofitno-racunovod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vizija.hr/hr/kontakt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2013-01-24T13:52:00Z</cp:lastPrinted>
  <dcterms:created xsi:type="dcterms:W3CDTF">2013-02-26T07:48:00Z</dcterms:created>
  <dcterms:modified xsi:type="dcterms:W3CDTF">2013-02-26T07:48:00Z</dcterms:modified>
</cp:coreProperties>
</file>