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C7" w:rsidRPr="00547FEE" w:rsidRDefault="001D380E" w:rsidP="00EE0FC7">
      <w:pPr>
        <w:ind w:firstLine="708"/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 xml:space="preserve">     </w:t>
      </w:r>
      <w:r w:rsidR="00EE0FC7" w:rsidRPr="00547FEE">
        <w:rPr>
          <w:noProof/>
          <w:color w:val="002060"/>
          <w:szCs w:val="24"/>
        </w:rPr>
        <w:drawing>
          <wp:inline distT="0" distB="0" distL="0" distR="0" wp14:anchorId="76EE1045" wp14:editId="25F310F1">
            <wp:extent cx="466725" cy="800100"/>
            <wp:effectExtent l="0" t="0" r="9525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7" w:rsidRPr="00547FEE" w:rsidRDefault="00EE0FC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REPUBLIKA HRVATSKA</w:t>
      </w:r>
    </w:p>
    <w:p w:rsidR="00EE0FC7" w:rsidRPr="00547FEE" w:rsidRDefault="00EE0FC7" w:rsidP="00EE0FC7">
      <w:pPr>
        <w:pBdr>
          <w:bottom w:val="single" w:sz="4" w:space="1" w:color="auto"/>
        </w:pBd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DRŽAVNI URED ZA REVIZIJU</w:t>
      </w:r>
    </w:p>
    <w:p w:rsidR="00EE0FC7" w:rsidRPr="00547FEE" w:rsidRDefault="0094236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K</w:t>
      </w:r>
      <w:r w:rsidR="00C239F6" w:rsidRPr="00547FEE">
        <w:rPr>
          <w:rFonts w:cs="Arial"/>
          <w:bCs/>
          <w:color w:val="002060"/>
          <w:szCs w:val="24"/>
        </w:rPr>
        <w:t>LASA</w:t>
      </w:r>
      <w:r w:rsidRPr="00547FEE">
        <w:rPr>
          <w:rFonts w:cs="Arial"/>
          <w:bCs/>
          <w:color w:val="002060"/>
          <w:szCs w:val="24"/>
        </w:rPr>
        <w:t>:</w:t>
      </w:r>
      <w:r w:rsidR="00AA4A3D" w:rsidRPr="00547FEE">
        <w:rPr>
          <w:rFonts w:cs="Arial"/>
          <w:bCs/>
          <w:color w:val="002060"/>
          <w:szCs w:val="24"/>
        </w:rPr>
        <w:t xml:space="preserve"> 041-01/1</w:t>
      </w:r>
      <w:r w:rsidR="00E04F5E">
        <w:rPr>
          <w:rFonts w:cs="Arial"/>
          <w:bCs/>
          <w:color w:val="002060"/>
          <w:szCs w:val="24"/>
        </w:rPr>
        <w:t>9</w:t>
      </w:r>
      <w:r w:rsidR="00AA4A3D" w:rsidRPr="00547FEE">
        <w:rPr>
          <w:rFonts w:cs="Arial"/>
          <w:bCs/>
          <w:color w:val="002060"/>
          <w:szCs w:val="24"/>
        </w:rPr>
        <w:t>-12/</w:t>
      </w:r>
      <w:r w:rsidR="00672781">
        <w:rPr>
          <w:rFonts w:cs="Arial"/>
          <w:bCs/>
          <w:color w:val="002060"/>
          <w:szCs w:val="24"/>
        </w:rPr>
        <w:t>1</w:t>
      </w:r>
    </w:p>
    <w:p w:rsidR="00942367" w:rsidRPr="00547FEE" w:rsidRDefault="0094236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U</w:t>
      </w:r>
      <w:r w:rsidR="00C239F6" w:rsidRPr="00547FEE">
        <w:rPr>
          <w:rFonts w:cs="Arial"/>
          <w:bCs/>
          <w:color w:val="002060"/>
          <w:szCs w:val="24"/>
        </w:rPr>
        <w:t>RBROJ</w:t>
      </w:r>
      <w:r w:rsidRPr="00547FEE">
        <w:rPr>
          <w:rFonts w:cs="Arial"/>
          <w:bCs/>
          <w:color w:val="002060"/>
          <w:szCs w:val="24"/>
        </w:rPr>
        <w:t>:</w:t>
      </w:r>
      <w:r w:rsidR="00AA4A3D" w:rsidRPr="00547FEE">
        <w:rPr>
          <w:rFonts w:cs="Arial"/>
          <w:bCs/>
          <w:color w:val="002060"/>
          <w:szCs w:val="24"/>
        </w:rPr>
        <w:t xml:space="preserve"> 613-01-01-1</w:t>
      </w:r>
      <w:r w:rsidR="00E04F5E">
        <w:rPr>
          <w:rFonts w:cs="Arial"/>
          <w:bCs/>
          <w:color w:val="002060"/>
          <w:szCs w:val="24"/>
        </w:rPr>
        <w:t>9</w:t>
      </w:r>
      <w:r w:rsidR="00AA4A3D" w:rsidRPr="00547FEE">
        <w:rPr>
          <w:rFonts w:cs="Arial"/>
          <w:bCs/>
          <w:color w:val="002060"/>
          <w:szCs w:val="24"/>
        </w:rPr>
        <w:t>-</w:t>
      </w:r>
      <w:r w:rsidR="004A4716" w:rsidRPr="00B2126C">
        <w:rPr>
          <w:rFonts w:cs="Arial"/>
          <w:bCs/>
          <w:color w:val="002060"/>
          <w:szCs w:val="24"/>
        </w:rPr>
        <w:t>2</w:t>
      </w:r>
    </w:p>
    <w:p w:rsidR="00942367" w:rsidRPr="00547FEE" w:rsidRDefault="00942367" w:rsidP="00EE0FC7">
      <w:pPr>
        <w:rPr>
          <w:rFonts w:cs="Arial"/>
          <w:bCs/>
          <w:color w:val="002060"/>
          <w:szCs w:val="24"/>
        </w:rPr>
      </w:pPr>
    </w:p>
    <w:p w:rsidR="00EE0FC7" w:rsidRPr="00547FEE" w:rsidRDefault="001B24A8" w:rsidP="00EE0FC7">
      <w:pPr>
        <w:pStyle w:val="Naslov1"/>
        <w:rPr>
          <w:color w:val="002060"/>
          <w:szCs w:val="24"/>
        </w:rPr>
      </w:pPr>
      <w:r w:rsidRPr="00547FEE">
        <w:rPr>
          <w:color w:val="002060"/>
          <w:szCs w:val="24"/>
        </w:rPr>
        <w:t xml:space="preserve">Zagreb, </w:t>
      </w:r>
      <w:r w:rsidR="005C173B">
        <w:rPr>
          <w:color w:val="002060"/>
          <w:szCs w:val="24"/>
        </w:rPr>
        <w:t>1</w:t>
      </w:r>
      <w:r w:rsidR="00532ECF">
        <w:rPr>
          <w:color w:val="002060"/>
          <w:szCs w:val="24"/>
        </w:rPr>
        <w:t>4</w:t>
      </w:r>
      <w:r w:rsidRPr="00547FEE">
        <w:rPr>
          <w:color w:val="002060"/>
          <w:szCs w:val="24"/>
        </w:rPr>
        <w:t>. siječnja 201</w:t>
      </w:r>
      <w:r w:rsidR="00E04F5E">
        <w:rPr>
          <w:color w:val="002060"/>
          <w:szCs w:val="24"/>
        </w:rPr>
        <w:t>9</w:t>
      </w:r>
      <w:r w:rsidRPr="00547FEE">
        <w:rPr>
          <w:color w:val="002060"/>
          <w:szCs w:val="24"/>
        </w:rPr>
        <w:t>.</w:t>
      </w:r>
    </w:p>
    <w:p w:rsidR="00DA3DFD" w:rsidRDefault="00DA3DFD">
      <w:pPr>
        <w:rPr>
          <w:color w:val="002060"/>
        </w:rPr>
      </w:pPr>
    </w:p>
    <w:p w:rsidR="00E04F5E" w:rsidRPr="00547FEE" w:rsidRDefault="00E04F5E">
      <w:pPr>
        <w:rPr>
          <w:color w:val="002060"/>
        </w:rPr>
      </w:pPr>
    </w:p>
    <w:p w:rsidR="001B24A8" w:rsidRPr="00547FEE" w:rsidRDefault="00E04F5E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91440</wp:posOffset>
                </wp:positionV>
                <wp:extent cx="3867150" cy="1257300"/>
                <wp:effectExtent l="0" t="0" r="19050" b="19050"/>
                <wp:wrapTight wrapText="bothSides">
                  <wp:wrapPolygon edited="0">
                    <wp:start x="532" y="0"/>
                    <wp:lineTo x="0" y="1636"/>
                    <wp:lineTo x="0" y="19636"/>
                    <wp:lineTo x="213" y="20945"/>
                    <wp:lineTo x="532" y="21600"/>
                    <wp:lineTo x="21174" y="21600"/>
                    <wp:lineTo x="21494" y="20945"/>
                    <wp:lineTo x="21600" y="19964"/>
                    <wp:lineTo x="21600" y="1636"/>
                    <wp:lineTo x="21068" y="0"/>
                    <wp:lineTo x="532" y="0"/>
                  </wp:wrapPolygon>
                </wp:wrapTight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2573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F5E" w:rsidRDefault="00E04F5E" w:rsidP="00E04F5E">
                            <w:pPr>
                              <w:jc w:val="center"/>
                            </w:pPr>
                            <w:r w:rsidRPr="00547FEE">
                              <w:rPr>
                                <w:b/>
                                <w:color w:val="002060"/>
                              </w:rPr>
                              <w:t>OBAVIJEST NEPROFITNIM ORGANIZACIJAMA O SASTAVLJANJU I DOSTAVLJANJU FINANCIJSKIH IZVJEŠTAJA ZA 201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8</w:t>
                            </w:r>
                            <w:r w:rsidRPr="00547FEE">
                              <w:rPr>
                                <w:b/>
                                <w:color w:val="00206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id="Zaobljeni pravokutnik 2" o:spid="_x0000_s1026" style="position:absolute;left:0;text-align:left;margin-left:82.05pt;margin-top:7.2pt;width:304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" fillcolor="white [3201]" strokecolor="#002060" strokeweight="2pt">
                <v:textbox>
                  <w:txbxContent>
                    <w:p w:rsidR="00E04F5E" w:rsidRDefault="00E04F5E" w:rsidP="00E04F5E">
                      <w:pPr>
                        <w:jc w:val="center"/>
                      </w:pPr>
                      <w:r w:rsidRPr="00547FEE">
                        <w:rPr>
                          <w:b/>
                          <w:color w:val="002060"/>
                        </w:rPr>
                        <w:t>OBAVIJEST NEPROFITNIM ORGANIZACIJAMA O SASTAVLJANJU I DOSTAVLJANJU FINANCIJSKIH IZVJEŠTAJA ZA 201</w:t>
                      </w:r>
                      <w:r>
                        <w:rPr>
                          <w:b/>
                          <w:color w:val="002060"/>
                        </w:rPr>
                        <w:t>8</w:t>
                      </w:r>
                      <w:r w:rsidRPr="00547FEE">
                        <w:rPr>
                          <w:b/>
                          <w:color w:val="002060"/>
                        </w:rPr>
                        <w:t xml:space="preserve">.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08671B" w:rsidRDefault="0008671B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Pr="00547FEE" w:rsidRDefault="00E04F5E">
      <w:pPr>
        <w:rPr>
          <w:color w:val="002060"/>
        </w:rPr>
      </w:pPr>
    </w:p>
    <w:p w:rsidR="0008671B" w:rsidRDefault="0008671B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E04F5E" w:rsidRDefault="00E04F5E">
      <w:pPr>
        <w:rPr>
          <w:color w:val="002060"/>
        </w:rPr>
      </w:pPr>
    </w:p>
    <w:p w:rsidR="0008671B" w:rsidRPr="00547FEE" w:rsidRDefault="0008671B" w:rsidP="007A08B1">
      <w:pPr>
        <w:rPr>
          <w:color w:val="002060"/>
        </w:rPr>
      </w:pPr>
    </w:p>
    <w:p w:rsidR="00E17B8E" w:rsidRPr="00E04F5E" w:rsidRDefault="003A68CE" w:rsidP="00B26413">
      <w:pPr>
        <w:ind w:firstLine="567"/>
        <w:rPr>
          <w:color w:val="002060"/>
        </w:rPr>
      </w:pPr>
      <w:r w:rsidRPr="00547FEE">
        <w:rPr>
          <w:color w:val="002060"/>
        </w:rPr>
        <w:t xml:space="preserve">Prema odredbama članka 2. Zakona o financijskom poslovanju i računovodstvu neprofitnih organizacija (Narodne novine 121/14), </w:t>
      </w:r>
      <w:r w:rsidRPr="001A700A">
        <w:rPr>
          <w:b/>
          <w:color w:val="002060"/>
        </w:rPr>
        <w:t>obveznici primjene neprofitnog računovodstva su:</w:t>
      </w:r>
      <w:r w:rsidRPr="00547FEE">
        <w:rPr>
          <w:color w:val="002060"/>
        </w:rPr>
        <w:t xml:space="preserve"> </w:t>
      </w:r>
      <w:r w:rsidRPr="00E04F5E">
        <w:rPr>
          <w:color w:val="002060"/>
        </w:rPr>
        <w:t xml:space="preserve">domaće i strane udruge i njihovi savezi, zaklade, </w:t>
      </w:r>
      <w:proofErr w:type="spellStart"/>
      <w:r w:rsidRPr="00E04F5E">
        <w:rPr>
          <w:color w:val="002060"/>
        </w:rPr>
        <w:t>fundacije</w:t>
      </w:r>
      <w:proofErr w:type="spellEnd"/>
      <w:r w:rsidRPr="00E04F5E">
        <w:rPr>
          <w:color w:val="002060"/>
        </w:rPr>
        <w:t xml:space="preserve">, ustanove, </w:t>
      </w:r>
      <w:r w:rsidR="004F41E9" w:rsidRPr="00E04F5E">
        <w:rPr>
          <w:color w:val="002060"/>
        </w:rPr>
        <w:t xml:space="preserve">umjetničke organizacije, komore, sindikati, udruge poslodavaca te sve druge pravne osobe kojima temeljni cilj osnivanja i djelovanja nije stjecanje dobiti, za koje iz posebnih propisa proizlazi da su neprofitnog karaktera. </w:t>
      </w:r>
    </w:p>
    <w:p w:rsidR="004F41E9" w:rsidRPr="00547FEE" w:rsidRDefault="00E17B8E" w:rsidP="00B26413">
      <w:pPr>
        <w:ind w:firstLine="567"/>
        <w:rPr>
          <w:color w:val="002060"/>
        </w:rPr>
      </w:pPr>
      <w:r>
        <w:rPr>
          <w:color w:val="002060"/>
        </w:rPr>
        <w:tab/>
      </w:r>
      <w:r w:rsidR="00DD3EA7" w:rsidRPr="00547FEE">
        <w:rPr>
          <w:color w:val="002060"/>
        </w:rPr>
        <w:t xml:space="preserve">Na </w:t>
      </w:r>
      <w:r w:rsidR="00DD3EA7" w:rsidRPr="00547FEE">
        <w:rPr>
          <w:b/>
          <w:color w:val="002060"/>
        </w:rPr>
        <w:t>političke stranke</w:t>
      </w:r>
      <w:r w:rsidR="00DD3EA7" w:rsidRPr="00547FEE">
        <w:rPr>
          <w:color w:val="002060"/>
        </w:rPr>
        <w:t xml:space="preserve"> primjenjuju </w:t>
      </w:r>
      <w:r w:rsidR="008F23E6" w:rsidRPr="00547FEE">
        <w:rPr>
          <w:color w:val="002060"/>
        </w:rPr>
        <w:t xml:space="preserve">se </w:t>
      </w:r>
      <w:r w:rsidR="00DD3EA7" w:rsidRPr="00547FEE">
        <w:rPr>
          <w:color w:val="002060"/>
        </w:rPr>
        <w:t>o</w:t>
      </w:r>
      <w:r w:rsidR="004F41E9" w:rsidRPr="00547FEE">
        <w:rPr>
          <w:color w:val="002060"/>
        </w:rPr>
        <w:t>dredbe ovog Zakona</w:t>
      </w:r>
      <w:r>
        <w:rPr>
          <w:color w:val="002060"/>
        </w:rPr>
        <w:t>,</w:t>
      </w:r>
      <w:r w:rsidR="004F41E9" w:rsidRPr="00547FEE">
        <w:rPr>
          <w:color w:val="002060"/>
        </w:rPr>
        <w:t xml:space="preserve"> koje se odnose na vođenje poslovnih knjiga i upis u Registar neprofitnih organizacija</w:t>
      </w:r>
      <w:r w:rsidR="00DD3EA7" w:rsidRPr="00547FEE">
        <w:rPr>
          <w:color w:val="002060"/>
        </w:rPr>
        <w:t xml:space="preserve">, dok se na </w:t>
      </w:r>
      <w:r w:rsidR="00DD3EA7" w:rsidRPr="00547FEE">
        <w:rPr>
          <w:b/>
          <w:color w:val="002060"/>
        </w:rPr>
        <w:t xml:space="preserve">vjerske zajednice </w:t>
      </w:r>
      <w:r w:rsidR="004F41E9" w:rsidRPr="00547FEE">
        <w:rPr>
          <w:color w:val="002060"/>
        </w:rPr>
        <w:t xml:space="preserve">primjenjuju </w:t>
      </w:r>
      <w:r w:rsidR="00DD3EA7" w:rsidRPr="00547FEE">
        <w:rPr>
          <w:color w:val="002060"/>
        </w:rPr>
        <w:t>o</w:t>
      </w:r>
      <w:r w:rsidR="004F41E9" w:rsidRPr="00547FEE">
        <w:rPr>
          <w:color w:val="002060"/>
        </w:rPr>
        <w:t>dredbe ovog Zakona</w:t>
      </w:r>
      <w:r>
        <w:rPr>
          <w:color w:val="002060"/>
        </w:rPr>
        <w:t>,</w:t>
      </w:r>
      <w:r w:rsidR="004F41E9" w:rsidRPr="00547FEE">
        <w:rPr>
          <w:color w:val="002060"/>
        </w:rPr>
        <w:t xml:space="preserve"> koje se odnose na dostavu izvještaja o potrošnji proračunskih sredstava, kontrole na licu mjesta o utrošku proračunskih sredstava te financijski nadzor sredstava iz javnih izvora</w:t>
      </w:r>
      <w:r w:rsidR="00DD3EA7" w:rsidRPr="00547FEE">
        <w:rPr>
          <w:color w:val="002060"/>
        </w:rPr>
        <w:t xml:space="preserve">. </w:t>
      </w:r>
    </w:p>
    <w:p w:rsidR="001A700A" w:rsidRDefault="001A700A" w:rsidP="00B26413">
      <w:pPr>
        <w:ind w:firstLine="567"/>
        <w:rPr>
          <w:b/>
          <w:color w:val="002060"/>
        </w:rPr>
      </w:pPr>
    </w:p>
    <w:p w:rsidR="003A68CE" w:rsidRPr="00547FEE" w:rsidRDefault="004F41E9" w:rsidP="00B26413">
      <w:pPr>
        <w:ind w:firstLine="567"/>
        <w:rPr>
          <w:color w:val="002060"/>
        </w:rPr>
      </w:pPr>
      <w:r w:rsidRPr="001A700A">
        <w:rPr>
          <w:b/>
          <w:color w:val="002060"/>
        </w:rPr>
        <w:t>Odredbe ovog Zakona ne odnose se na poduzetnike</w:t>
      </w:r>
      <w:r w:rsidRPr="00547FEE">
        <w:rPr>
          <w:color w:val="002060"/>
        </w:rPr>
        <w:t xml:space="preserve"> na koje se primjenjuju odredbe Zakona o računovodstvu (</w:t>
      </w:r>
      <w:r w:rsidR="002F5AB5">
        <w:rPr>
          <w:color w:val="002060"/>
        </w:rPr>
        <w:t>Narodne novine 78/15</w:t>
      </w:r>
      <w:r w:rsidR="00C44B75">
        <w:rPr>
          <w:color w:val="002060"/>
        </w:rPr>
        <w:t>, 134/15</w:t>
      </w:r>
      <w:r w:rsidR="00E04F5E">
        <w:rPr>
          <w:color w:val="002060"/>
        </w:rPr>
        <w:t xml:space="preserve">, </w:t>
      </w:r>
      <w:r w:rsidR="00C44B75">
        <w:rPr>
          <w:color w:val="002060"/>
        </w:rPr>
        <w:t>120/16</w:t>
      </w:r>
      <w:r w:rsidR="00E04F5E">
        <w:rPr>
          <w:color w:val="002060"/>
        </w:rPr>
        <w:t xml:space="preserve"> i 116/18</w:t>
      </w:r>
      <w:r w:rsidRPr="00547FEE">
        <w:rPr>
          <w:color w:val="002060"/>
        </w:rPr>
        <w:t xml:space="preserve">), na </w:t>
      </w:r>
      <w:r w:rsidRPr="001A700A">
        <w:rPr>
          <w:b/>
          <w:color w:val="002060"/>
        </w:rPr>
        <w:t xml:space="preserve">jedinice lokalne i područne (regionalne) </w:t>
      </w:r>
      <w:r w:rsidR="00E30504" w:rsidRPr="001A700A">
        <w:rPr>
          <w:b/>
          <w:color w:val="002060"/>
        </w:rPr>
        <w:t>samouprave i proračunske korisnike upisane u Registar proračunskih i izvanproračunskih korisnika</w:t>
      </w:r>
      <w:r w:rsidR="002B6578">
        <w:rPr>
          <w:color w:val="002060"/>
        </w:rPr>
        <w:t xml:space="preserve">, </w:t>
      </w:r>
      <w:r w:rsidR="00E30504" w:rsidRPr="00547FEE">
        <w:rPr>
          <w:color w:val="002060"/>
        </w:rPr>
        <w:t xml:space="preserve">koji financijsko poslovanje i računovodstvo vode u skladu sa Zakonom o proračunu </w:t>
      </w:r>
      <w:r w:rsidR="0096137F" w:rsidRPr="00547FEE">
        <w:rPr>
          <w:color w:val="002060"/>
        </w:rPr>
        <w:t xml:space="preserve">(Narodne novine </w:t>
      </w:r>
      <w:r w:rsidR="0096137F" w:rsidRPr="00B2126C">
        <w:rPr>
          <w:color w:val="002060"/>
        </w:rPr>
        <w:t>87/08</w:t>
      </w:r>
      <w:r w:rsidR="002F5AB5" w:rsidRPr="00B2126C">
        <w:rPr>
          <w:color w:val="002060"/>
        </w:rPr>
        <w:t xml:space="preserve">, </w:t>
      </w:r>
      <w:r w:rsidR="0096137F" w:rsidRPr="00B2126C">
        <w:rPr>
          <w:color w:val="002060"/>
        </w:rPr>
        <w:t>136/12</w:t>
      </w:r>
      <w:r w:rsidR="002F5AB5" w:rsidRPr="00B2126C">
        <w:rPr>
          <w:color w:val="002060"/>
        </w:rPr>
        <w:t xml:space="preserve"> i 15/15</w:t>
      </w:r>
      <w:r w:rsidR="0096137F" w:rsidRPr="00B2126C">
        <w:rPr>
          <w:color w:val="002060"/>
        </w:rPr>
        <w:t>)</w:t>
      </w:r>
      <w:r w:rsidR="0096137F" w:rsidRPr="00547FEE">
        <w:rPr>
          <w:color w:val="002060"/>
        </w:rPr>
        <w:t xml:space="preserve"> </w:t>
      </w:r>
      <w:r w:rsidR="00E30504" w:rsidRPr="00547FEE">
        <w:rPr>
          <w:color w:val="002060"/>
        </w:rPr>
        <w:t xml:space="preserve">te </w:t>
      </w:r>
      <w:r w:rsidR="00E30504" w:rsidRPr="001A700A">
        <w:rPr>
          <w:b/>
          <w:color w:val="002060"/>
        </w:rPr>
        <w:t>ustanove kojima su osnivači fizičke osobe i druge pravne osobe</w:t>
      </w:r>
      <w:r w:rsidR="00E30504" w:rsidRPr="00547FEE">
        <w:rPr>
          <w:color w:val="002060"/>
        </w:rPr>
        <w:t xml:space="preserve"> koje su, sukladno propisima koji uređuju poreze, obveznici utvrđivanja i plaćanja poreza na dobit za svoju ukupnu djelatnost.</w:t>
      </w:r>
    </w:p>
    <w:p w:rsidR="000A79C6" w:rsidRPr="00547FEE" w:rsidRDefault="000A79C6" w:rsidP="00B26413">
      <w:pPr>
        <w:ind w:firstLine="567"/>
        <w:rPr>
          <w:color w:val="002060"/>
        </w:rPr>
      </w:pPr>
    </w:p>
    <w:p w:rsidR="003A68CE" w:rsidRPr="00547FEE" w:rsidRDefault="000A79C6" w:rsidP="000A79C6">
      <w:pPr>
        <w:ind w:firstLine="567"/>
        <w:rPr>
          <w:color w:val="002060"/>
        </w:rPr>
      </w:pPr>
      <w:r w:rsidRPr="00547FEE">
        <w:rPr>
          <w:color w:val="002060"/>
        </w:rPr>
        <w:t xml:space="preserve">Registar neprofitnih organizacija vodi </w:t>
      </w:r>
      <w:r w:rsidR="008F23E6" w:rsidRPr="00547FEE">
        <w:rPr>
          <w:color w:val="002060"/>
        </w:rPr>
        <w:t xml:space="preserve">se </w:t>
      </w:r>
      <w:r w:rsidRPr="00547FEE">
        <w:rPr>
          <w:color w:val="002060"/>
        </w:rPr>
        <w:t>u Ministarstvu financija</w:t>
      </w:r>
      <w:r w:rsidR="00DD3EA7" w:rsidRPr="00547FEE">
        <w:rPr>
          <w:color w:val="002060"/>
        </w:rPr>
        <w:t>. N</w:t>
      </w:r>
      <w:r w:rsidRPr="00547FEE">
        <w:rPr>
          <w:color w:val="002060"/>
        </w:rPr>
        <w:t>ačin vođenja, upis, promjena podataka i brisanje</w:t>
      </w:r>
      <w:r w:rsidR="00DD3EA7" w:rsidRPr="00547FEE">
        <w:rPr>
          <w:color w:val="002060"/>
        </w:rPr>
        <w:t xml:space="preserve"> iz Registra</w:t>
      </w:r>
      <w:r w:rsidRPr="00547FEE">
        <w:rPr>
          <w:color w:val="002060"/>
        </w:rPr>
        <w:t xml:space="preserve">, propisani su odredbama članaka 33. do 36. te članka 46. Zakona o financijskom poslovanju i računovodstvu neprofitnih organizacija, dok je javno objavljivanje putem navedenog Registra propisano odredbama članka 37. istog Zakona.   </w:t>
      </w:r>
    </w:p>
    <w:p w:rsidR="000A79C6" w:rsidRPr="00547FEE" w:rsidRDefault="00B26413" w:rsidP="000A79C6">
      <w:pPr>
        <w:tabs>
          <w:tab w:val="left" w:pos="567"/>
        </w:tabs>
        <w:rPr>
          <w:color w:val="002060"/>
        </w:rPr>
      </w:pPr>
      <w:r w:rsidRPr="00547FEE">
        <w:rPr>
          <w:color w:val="002060"/>
        </w:rPr>
        <w:tab/>
      </w:r>
    </w:p>
    <w:p w:rsidR="004D32E2" w:rsidRDefault="000A79C6" w:rsidP="000A79C6">
      <w:pPr>
        <w:tabs>
          <w:tab w:val="left" w:pos="567"/>
        </w:tabs>
        <w:rPr>
          <w:b/>
          <w:color w:val="002060"/>
        </w:rPr>
      </w:pPr>
      <w:r w:rsidRPr="00547FEE">
        <w:rPr>
          <w:b/>
          <w:color w:val="002060"/>
        </w:rPr>
        <w:tab/>
      </w:r>
      <w:r w:rsidR="002B6578" w:rsidRPr="00B2126C">
        <w:rPr>
          <w:b/>
          <w:color w:val="002060"/>
        </w:rPr>
        <w:t>Fi</w:t>
      </w:r>
      <w:r w:rsidR="00DD3EA7" w:rsidRPr="00B2126C">
        <w:rPr>
          <w:b/>
          <w:color w:val="002060"/>
        </w:rPr>
        <w:t xml:space="preserve">nancijski izvještaji </w:t>
      </w:r>
      <w:r w:rsidR="001A700A" w:rsidRPr="00B2126C">
        <w:rPr>
          <w:b/>
          <w:color w:val="002060"/>
        </w:rPr>
        <w:t xml:space="preserve">sastavljaju </w:t>
      </w:r>
      <w:r w:rsidR="008F23E6" w:rsidRPr="00B2126C">
        <w:rPr>
          <w:b/>
          <w:color w:val="002060"/>
        </w:rPr>
        <w:t xml:space="preserve">se </w:t>
      </w:r>
      <w:r w:rsidR="001A700A" w:rsidRPr="00B2126C">
        <w:rPr>
          <w:b/>
          <w:color w:val="002060"/>
        </w:rPr>
        <w:t>u skladu sa Zakon</w:t>
      </w:r>
      <w:r w:rsidR="00C464F7" w:rsidRPr="00B2126C">
        <w:rPr>
          <w:b/>
          <w:color w:val="002060"/>
        </w:rPr>
        <w:t>om</w:t>
      </w:r>
      <w:r w:rsidR="001A700A" w:rsidRPr="00B2126C">
        <w:rPr>
          <w:b/>
          <w:color w:val="002060"/>
        </w:rPr>
        <w:t xml:space="preserve"> o financijskom poslovanju i računovodstvu neprofitnih organizacija</w:t>
      </w:r>
      <w:r w:rsidR="00B2126C" w:rsidRPr="00B2126C">
        <w:rPr>
          <w:b/>
          <w:color w:val="002060"/>
        </w:rPr>
        <w:t xml:space="preserve"> (financijsko izvještavanje propisano </w:t>
      </w:r>
      <w:r w:rsidR="008F23E6" w:rsidRPr="00B2126C">
        <w:rPr>
          <w:b/>
          <w:color w:val="002060"/>
        </w:rPr>
        <w:t xml:space="preserve">je </w:t>
      </w:r>
      <w:r w:rsidR="00B2126C" w:rsidRPr="00B2126C">
        <w:rPr>
          <w:b/>
          <w:color w:val="002060"/>
        </w:rPr>
        <w:t>odredbama članka 28. do 32</w:t>
      </w:r>
      <w:r w:rsidR="001A700A" w:rsidRPr="00B2126C">
        <w:rPr>
          <w:b/>
          <w:color w:val="002060"/>
        </w:rPr>
        <w:t>.</w:t>
      </w:r>
      <w:r w:rsidR="00B2126C" w:rsidRPr="00B2126C">
        <w:rPr>
          <w:b/>
          <w:color w:val="002060"/>
        </w:rPr>
        <w:t xml:space="preserve"> navedenog Zakona).</w:t>
      </w:r>
      <w:r w:rsidR="001A700A" w:rsidRPr="007651EA">
        <w:rPr>
          <w:b/>
          <w:color w:val="002060"/>
        </w:rPr>
        <w:t xml:space="preserve"> </w:t>
      </w:r>
    </w:p>
    <w:p w:rsidR="00C464F7" w:rsidRPr="008F23E6" w:rsidRDefault="004D32E2" w:rsidP="000A79C6">
      <w:pPr>
        <w:tabs>
          <w:tab w:val="left" w:pos="567"/>
        </w:tabs>
        <w:rPr>
          <w:color w:val="002060"/>
        </w:rPr>
      </w:pPr>
      <w:r w:rsidRPr="00547FEE">
        <w:rPr>
          <w:color w:val="002060"/>
        </w:rPr>
        <w:lastRenderedPageBreak/>
        <w:tab/>
      </w:r>
      <w:r w:rsidR="0023784D" w:rsidRPr="00547FEE">
        <w:rPr>
          <w:color w:val="002060"/>
        </w:rPr>
        <w:t xml:space="preserve">Obveznici sastavljanja financijskih izvještaja, prema odredbama članka </w:t>
      </w:r>
      <w:r w:rsidR="00B26413" w:rsidRPr="00547FEE">
        <w:rPr>
          <w:color w:val="002060"/>
        </w:rPr>
        <w:t>28</w:t>
      </w:r>
      <w:r w:rsidR="0023784D" w:rsidRPr="00547FEE">
        <w:rPr>
          <w:color w:val="002060"/>
        </w:rPr>
        <w:t xml:space="preserve">. </w:t>
      </w:r>
      <w:r w:rsidR="000A79C6" w:rsidRPr="00547FEE">
        <w:rPr>
          <w:color w:val="002060"/>
        </w:rPr>
        <w:t xml:space="preserve">istog </w:t>
      </w:r>
      <w:r w:rsidR="00B26413" w:rsidRPr="00547FEE">
        <w:rPr>
          <w:color w:val="002060"/>
        </w:rPr>
        <w:t>Zakona</w:t>
      </w:r>
      <w:r w:rsidR="000A79C6" w:rsidRPr="00547FEE">
        <w:rPr>
          <w:color w:val="002060"/>
        </w:rPr>
        <w:t>,</w:t>
      </w:r>
      <w:r w:rsidR="00B26413" w:rsidRPr="00547FEE">
        <w:rPr>
          <w:color w:val="002060"/>
        </w:rPr>
        <w:t xml:space="preserve"> </w:t>
      </w:r>
      <w:r w:rsidR="0023784D" w:rsidRPr="00547FEE">
        <w:rPr>
          <w:color w:val="002060"/>
        </w:rPr>
        <w:t>predaju financijsk</w:t>
      </w:r>
      <w:r w:rsidR="00193B36" w:rsidRPr="00547FEE">
        <w:rPr>
          <w:color w:val="002060"/>
        </w:rPr>
        <w:t xml:space="preserve">e izvještaje za poslovnu godinu Ministarstvu financija, odnosno drugoj instituciji </w:t>
      </w:r>
      <w:r w:rsidRPr="00547FEE">
        <w:rPr>
          <w:color w:val="002060"/>
        </w:rPr>
        <w:t xml:space="preserve">koju navedeno ministarstvo ovlasti za zaprimanje i obradu financijskih izvještaja - </w:t>
      </w:r>
      <w:r w:rsidR="000A79C6" w:rsidRPr="00547FEE">
        <w:rPr>
          <w:b/>
          <w:color w:val="002060"/>
        </w:rPr>
        <w:t>FIN</w:t>
      </w:r>
      <w:r w:rsidRPr="00547FEE">
        <w:rPr>
          <w:b/>
          <w:color w:val="002060"/>
        </w:rPr>
        <w:t>A</w:t>
      </w:r>
      <w:r w:rsidRPr="00547FEE">
        <w:rPr>
          <w:color w:val="002060"/>
        </w:rPr>
        <w:t xml:space="preserve">, </w:t>
      </w:r>
      <w:r w:rsidR="000A79C6" w:rsidRPr="00547FEE">
        <w:rPr>
          <w:color w:val="002060"/>
        </w:rPr>
        <w:t>u roku 60 dana od isteka izvještajnog razdoblja</w:t>
      </w:r>
      <w:r w:rsidR="001A700A">
        <w:rPr>
          <w:color w:val="002060"/>
        </w:rPr>
        <w:t xml:space="preserve">. </w:t>
      </w:r>
      <w:r w:rsidR="00657535" w:rsidRPr="00657535">
        <w:rPr>
          <w:b/>
          <w:color w:val="002060"/>
        </w:rPr>
        <w:t>Neprofitne organizacije ne predaju financijske izvještaje Državnom uredu za reviziju</w:t>
      </w:r>
      <w:r w:rsidR="00657535" w:rsidRPr="008F23E6">
        <w:rPr>
          <w:color w:val="002060"/>
        </w:rPr>
        <w:t>.</w:t>
      </w:r>
    </w:p>
    <w:p w:rsidR="00657535" w:rsidRDefault="00657535" w:rsidP="000A79C6">
      <w:pPr>
        <w:tabs>
          <w:tab w:val="left" w:pos="567"/>
        </w:tabs>
        <w:rPr>
          <w:color w:val="002060"/>
        </w:rPr>
      </w:pPr>
    </w:p>
    <w:p w:rsidR="00C464F7" w:rsidRDefault="00657535" w:rsidP="00C464F7">
      <w:pPr>
        <w:tabs>
          <w:tab w:val="left" w:pos="567"/>
        </w:tabs>
        <w:rPr>
          <w:color w:val="002060"/>
        </w:rPr>
      </w:pPr>
      <w:r>
        <w:rPr>
          <w:color w:val="002060"/>
        </w:rPr>
        <w:tab/>
        <w:t xml:space="preserve">Rok za dostavu financijskih izvještaja za 2018. je </w:t>
      </w:r>
      <w:r>
        <w:rPr>
          <w:b/>
          <w:color w:val="002060"/>
        </w:rPr>
        <w:t>1</w:t>
      </w:r>
      <w:r w:rsidRPr="00547FEE">
        <w:rPr>
          <w:b/>
          <w:color w:val="002060"/>
        </w:rPr>
        <w:t xml:space="preserve">. </w:t>
      </w:r>
      <w:r>
        <w:rPr>
          <w:b/>
          <w:color w:val="002060"/>
        </w:rPr>
        <w:t>ožujka</w:t>
      </w:r>
      <w:r w:rsidRPr="00547FEE">
        <w:rPr>
          <w:b/>
          <w:color w:val="002060"/>
        </w:rPr>
        <w:t xml:space="preserve"> 201</w:t>
      </w:r>
      <w:r>
        <w:rPr>
          <w:b/>
          <w:color w:val="002060"/>
        </w:rPr>
        <w:t>9</w:t>
      </w:r>
      <w:r w:rsidRPr="00547FEE">
        <w:rPr>
          <w:b/>
          <w:color w:val="002060"/>
        </w:rPr>
        <w:t xml:space="preserve">., </w:t>
      </w:r>
      <w:r>
        <w:rPr>
          <w:b/>
          <w:color w:val="002060"/>
        </w:rPr>
        <w:t>petak</w:t>
      </w:r>
      <w:r w:rsidRPr="00547FEE">
        <w:rPr>
          <w:b/>
          <w:color w:val="002060"/>
        </w:rPr>
        <w:t xml:space="preserve"> </w:t>
      </w:r>
      <w:r w:rsidRPr="00547FEE">
        <w:rPr>
          <w:color w:val="002060"/>
        </w:rPr>
        <w:t xml:space="preserve">(zadnji dan zaprimanja izvještaja u propisanom roku). </w:t>
      </w:r>
      <w:r w:rsidR="00C464F7">
        <w:rPr>
          <w:color w:val="002060"/>
        </w:rPr>
        <w:t>Oblik i sadržaj financijskih izvještaja i izjave o neaktivnosti, razdoblja za koja se financijski izvještaji sastavljaju te obveza i rokovi njihovog podnošenja propisani su Pravilnikom o izvještavanju u neprofitnom računovodstvu i Registru neprofitnih organizacija (Narodne novine 31/15</w:t>
      </w:r>
      <w:r w:rsidR="00E04F5E">
        <w:rPr>
          <w:color w:val="002060"/>
        </w:rPr>
        <w:t xml:space="preserve">, </w:t>
      </w:r>
      <w:r w:rsidR="00697A6A">
        <w:rPr>
          <w:color w:val="002060"/>
        </w:rPr>
        <w:t>67/17</w:t>
      </w:r>
      <w:r w:rsidR="00E04F5E">
        <w:rPr>
          <w:color w:val="002060"/>
        </w:rPr>
        <w:t xml:space="preserve"> i 115/18</w:t>
      </w:r>
      <w:r w:rsidR="00C464F7">
        <w:rPr>
          <w:color w:val="002060"/>
        </w:rPr>
        <w:t xml:space="preserve">). </w:t>
      </w:r>
      <w:r>
        <w:rPr>
          <w:color w:val="002060"/>
        </w:rPr>
        <w:t xml:space="preserve">Skreće se pozornost da je zadnjim izmjenama navedenog Pravilnika iz prosinca 2018. (Narodne novine 115/18), </w:t>
      </w:r>
      <w:r w:rsidRPr="00657535">
        <w:rPr>
          <w:b/>
          <w:color w:val="002060"/>
        </w:rPr>
        <w:t>obrazac PR-RAS-NPF promijenjen</w:t>
      </w:r>
      <w:r>
        <w:rPr>
          <w:color w:val="002060"/>
        </w:rPr>
        <w:t>, a prvi financijski izvještaji na novom obrascu predaju se od 1. siječnja 2019. i to za izvještajno razdoblje od 1. siječnja do 31. prosinca 2018.</w:t>
      </w:r>
      <w:r w:rsidR="00C464F7">
        <w:rPr>
          <w:color w:val="002060"/>
        </w:rPr>
        <w:t xml:space="preserve"> </w:t>
      </w:r>
    </w:p>
    <w:p w:rsidR="00B26413" w:rsidRPr="00547FEE" w:rsidRDefault="00B26413" w:rsidP="00B26413">
      <w:pPr>
        <w:ind w:firstLine="567"/>
        <w:rPr>
          <w:color w:val="002060"/>
        </w:rPr>
      </w:pPr>
    </w:p>
    <w:p w:rsidR="003E357C" w:rsidRPr="00547FEE" w:rsidRDefault="005B3B50" w:rsidP="00B26413">
      <w:pPr>
        <w:ind w:firstLine="567"/>
        <w:rPr>
          <w:color w:val="002060"/>
        </w:rPr>
      </w:pPr>
      <w:r w:rsidRPr="00547FEE">
        <w:rPr>
          <w:color w:val="002060"/>
        </w:rPr>
        <w:t xml:space="preserve">Obrasci financijskih izvještaja i upute za </w:t>
      </w:r>
      <w:r w:rsidR="003E2C25">
        <w:rPr>
          <w:color w:val="002060"/>
        </w:rPr>
        <w:t xml:space="preserve">izradu i predaju financijskih izvještaja neprofitnih organizacija </w:t>
      </w:r>
      <w:r w:rsidRPr="00547FEE">
        <w:rPr>
          <w:color w:val="002060"/>
        </w:rPr>
        <w:t xml:space="preserve">objavljuju se na </w:t>
      </w:r>
      <w:r w:rsidR="00697A6A">
        <w:rPr>
          <w:color w:val="002060"/>
        </w:rPr>
        <w:t>mrežn</w:t>
      </w:r>
      <w:r w:rsidR="00F613D1">
        <w:rPr>
          <w:color w:val="002060"/>
        </w:rPr>
        <w:t xml:space="preserve">im stranicama </w:t>
      </w:r>
      <w:r w:rsidRPr="00547FEE">
        <w:rPr>
          <w:color w:val="002060"/>
        </w:rPr>
        <w:t>Ministarstva financija</w:t>
      </w:r>
      <w:r w:rsidR="008F23E6">
        <w:rPr>
          <w:color w:val="002060"/>
        </w:rPr>
        <w:t xml:space="preserve"> i FINE.</w:t>
      </w:r>
    </w:p>
    <w:p w:rsidR="003E357C" w:rsidRDefault="003E357C" w:rsidP="00B26413">
      <w:pPr>
        <w:ind w:firstLine="567"/>
        <w:rPr>
          <w:color w:val="002060"/>
        </w:rPr>
      </w:pPr>
    </w:p>
    <w:p w:rsidR="00DD3EA7" w:rsidRPr="00547FEE" w:rsidRDefault="00DD3EA7" w:rsidP="005A160C">
      <w:pPr>
        <w:rPr>
          <w:color w:val="002060"/>
        </w:rPr>
      </w:pPr>
    </w:p>
    <w:p w:rsidR="00DD3EA7" w:rsidRPr="00547FEE" w:rsidRDefault="00DD3EA7" w:rsidP="005A160C">
      <w:pPr>
        <w:rPr>
          <w:color w:val="002060"/>
        </w:rPr>
      </w:pPr>
    </w:p>
    <w:p w:rsidR="0008671B" w:rsidRPr="005630A1" w:rsidRDefault="00942367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630A1">
        <w:rPr>
          <w:rFonts w:eastAsiaTheme="minorHAnsi" w:cs="Arial"/>
          <w:bCs/>
          <w:color w:val="002060"/>
          <w:szCs w:val="24"/>
          <w:lang w:eastAsia="en-US"/>
        </w:rPr>
        <w:t>GLAVNI DRŽAVNI REVIZOR</w:t>
      </w:r>
    </w:p>
    <w:p w:rsidR="0008671B" w:rsidRPr="005630A1" w:rsidRDefault="0008671B" w:rsidP="00A66DFA">
      <w:pPr>
        <w:overflowPunct/>
        <w:jc w:val="left"/>
        <w:rPr>
          <w:rFonts w:ascii="Times New Roman" w:eastAsiaTheme="minorHAnsi" w:hAnsi="Times New Roman"/>
          <w:bCs/>
          <w:color w:val="002060"/>
          <w:szCs w:val="24"/>
          <w:lang w:eastAsia="en-US"/>
        </w:rPr>
      </w:pPr>
    </w:p>
    <w:p w:rsidR="003A66FB" w:rsidRPr="005630A1" w:rsidRDefault="003A66FB" w:rsidP="00A66DFA">
      <w:pPr>
        <w:overflowPunct/>
        <w:jc w:val="left"/>
        <w:rPr>
          <w:rFonts w:ascii="Times New Roman" w:eastAsiaTheme="minorHAnsi" w:hAnsi="Times New Roman"/>
          <w:bCs/>
          <w:color w:val="002060"/>
          <w:szCs w:val="24"/>
          <w:lang w:eastAsia="en-US"/>
        </w:rPr>
      </w:pPr>
    </w:p>
    <w:p w:rsidR="0008671B" w:rsidRPr="005630A1" w:rsidRDefault="00942367" w:rsidP="00A66DFA">
      <w:pPr>
        <w:overflowPunct/>
        <w:jc w:val="left"/>
        <w:rPr>
          <w:rFonts w:eastAsiaTheme="minorHAnsi" w:cs="Arial"/>
          <w:bCs/>
          <w:color w:val="002060"/>
          <w:szCs w:val="24"/>
          <w:lang w:eastAsia="en-US"/>
        </w:rPr>
      </w:pP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ab/>
      </w:r>
      <w:r w:rsidR="00F613D1">
        <w:rPr>
          <w:rFonts w:ascii="Times New Roman" w:eastAsiaTheme="minorHAnsi" w:hAnsi="Times New Roman"/>
          <w:bCs/>
          <w:color w:val="002060"/>
          <w:szCs w:val="24"/>
          <w:lang w:eastAsia="en-US"/>
        </w:rPr>
        <w:t xml:space="preserve"> </w:t>
      </w:r>
      <w:r w:rsidR="003A66FB" w:rsidRPr="005630A1">
        <w:rPr>
          <w:rFonts w:ascii="Times New Roman" w:eastAsiaTheme="minorHAnsi" w:hAnsi="Times New Roman"/>
          <w:bCs/>
          <w:color w:val="002060"/>
          <w:szCs w:val="24"/>
          <w:lang w:eastAsia="en-US"/>
        </w:rPr>
        <w:t xml:space="preserve"> </w:t>
      </w:r>
      <w:bookmarkStart w:id="0" w:name="_GoBack"/>
      <w:bookmarkEnd w:id="0"/>
      <w:r w:rsidR="00C239F6" w:rsidRPr="005630A1">
        <w:rPr>
          <w:rFonts w:eastAsiaTheme="minorHAnsi" w:cs="Arial"/>
          <w:bCs/>
          <w:color w:val="002060"/>
          <w:szCs w:val="24"/>
          <w:lang w:eastAsia="en-US"/>
        </w:rPr>
        <w:t>mr</w:t>
      </w:r>
      <w:r w:rsidR="003A66FB" w:rsidRPr="005630A1">
        <w:rPr>
          <w:rFonts w:eastAsiaTheme="minorHAnsi" w:cs="Arial"/>
          <w:bCs/>
          <w:color w:val="002060"/>
          <w:szCs w:val="24"/>
          <w:lang w:eastAsia="en-US"/>
        </w:rPr>
        <w:t>. Ivan Klešić, dipl. oec.</w:t>
      </w:r>
      <w:r w:rsidR="00477F46">
        <w:rPr>
          <w:rFonts w:eastAsiaTheme="minorHAnsi" w:cs="Arial"/>
          <w:bCs/>
          <w:color w:val="002060"/>
          <w:szCs w:val="24"/>
          <w:lang w:eastAsia="en-US"/>
        </w:rPr>
        <w:t>, v.r.</w:t>
      </w:r>
    </w:p>
    <w:sectPr w:rsidR="0008671B" w:rsidRPr="005630A1" w:rsidSect="0005343A">
      <w:headerReference w:type="default" r:id="rId9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949" w:rsidRDefault="00E64949" w:rsidP="00901F76">
      <w:r>
        <w:separator/>
      </w:r>
    </w:p>
  </w:endnote>
  <w:endnote w:type="continuationSeparator" w:id="0">
    <w:p w:rsidR="00E64949" w:rsidRDefault="00E64949" w:rsidP="0090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949" w:rsidRDefault="00E64949" w:rsidP="00901F76">
      <w:r>
        <w:separator/>
      </w:r>
    </w:p>
  </w:footnote>
  <w:footnote w:type="continuationSeparator" w:id="0">
    <w:p w:rsidR="00E64949" w:rsidRDefault="00E64949" w:rsidP="00901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159868"/>
      <w:docPartObj>
        <w:docPartGallery w:val="Page Numbers (Top of Page)"/>
        <w:docPartUnique/>
      </w:docPartObj>
    </w:sdtPr>
    <w:sdtEndPr/>
    <w:sdtContent>
      <w:p w:rsidR="00901F76" w:rsidRDefault="00901F76">
        <w:pPr>
          <w:pStyle w:val="Zaglavlje"/>
          <w:jc w:val="center"/>
        </w:pPr>
        <w:r w:rsidRPr="00532ECF">
          <w:rPr>
            <w:color w:val="002060"/>
          </w:rPr>
          <w:fldChar w:fldCharType="begin"/>
        </w:r>
        <w:r w:rsidRPr="00532ECF">
          <w:rPr>
            <w:color w:val="002060"/>
          </w:rPr>
          <w:instrText>PAGE   \* MERGEFORMAT</w:instrText>
        </w:r>
        <w:r w:rsidRPr="00532ECF">
          <w:rPr>
            <w:color w:val="002060"/>
          </w:rPr>
          <w:fldChar w:fldCharType="separate"/>
        </w:r>
        <w:r w:rsidR="00FA41C1">
          <w:rPr>
            <w:noProof/>
            <w:color w:val="002060"/>
          </w:rPr>
          <w:t>2</w:t>
        </w:r>
        <w:r w:rsidRPr="00532ECF">
          <w:rPr>
            <w:color w:val="002060"/>
          </w:rPr>
          <w:fldChar w:fldCharType="end"/>
        </w:r>
      </w:p>
    </w:sdtContent>
  </w:sdt>
  <w:p w:rsidR="00901F76" w:rsidRDefault="00901F7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451D2"/>
    <w:multiLevelType w:val="hybridMultilevel"/>
    <w:tmpl w:val="3D680BF2"/>
    <w:lvl w:ilvl="0" w:tplc="F4006E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0284CCA"/>
    <w:multiLevelType w:val="hybridMultilevel"/>
    <w:tmpl w:val="66FC4068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C7"/>
    <w:rsid w:val="0000633D"/>
    <w:rsid w:val="0003160B"/>
    <w:rsid w:val="0005343A"/>
    <w:rsid w:val="00074E04"/>
    <w:rsid w:val="0008671B"/>
    <w:rsid w:val="000A79C6"/>
    <w:rsid w:val="000B3531"/>
    <w:rsid w:val="001024D8"/>
    <w:rsid w:val="00123F2E"/>
    <w:rsid w:val="001531FC"/>
    <w:rsid w:val="00162A86"/>
    <w:rsid w:val="00172EEA"/>
    <w:rsid w:val="00193B36"/>
    <w:rsid w:val="001A700A"/>
    <w:rsid w:val="001B24A8"/>
    <w:rsid w:val="001C3C85"/>
    <w:rsid w:val="001C4557"/>
    <w:rsid w:val="001C4696"/>
    <w:rsid w:val="001D380E"/>
    <w:rsid w:val="00207C01"/>
    <w:rsid w:val="0023784D"/>
    <w:rsid w:val="002531A4"/>
    <w:rsid w:val="002670AB"/>
    <w:rsid w:val="002A71B1"/>
    <w:rsid w:val="002B3C8B"/>
    <w:rsid w:val="002B6578"/>
    <w:rsid w:val="002C4E96"/>
    <w:rsid w:val="002F5AB5"/>
    <w:rsid w:val="00303296"/>
    <w:rsid w:val="00323B30"/>
    <w:rsid w:val="00336DB8"/>
    <w:rsid w:val="00343A45"/>
    <w:rsid w:val="00346D70"/>
    <w:rsid w:val="0038773B"/>
    <w:rsid w:val="003A66FB"/>
    <w:rsid w:val="003A68CE"/>
    <w:rsid w:val="003B3EFB"/>
    <w:rsid w:val="003E123E"/>
    <w:rsid w:val="003E2C25"/>
    <w:rsid w:val="003E357C"/>
    <w:rsid w:val="00445712"/>
    <w:rsid w:val="00463BA4"/>
    <w:rsid w:val="00477F46"/>
    <w:rsid w:val="004A4716"/>
    <w:rsid w:val="004B4777"/>
    <w:rsid w:val="004D32E2"/>
    <w:rsid w:val="004F41E9"/>
    <w:rsid w:val="00532ECF"/>
    <w:rsid w:val="00547FEE"/>
    <w:rsid w:val="005630A1"/>
    <w:rsid w:val="005651B4"/>
    <w:rsid w:val="00597D25"/>
    <w:rsid w:val="005A160C"/>
    <w:rsid w:val="005B3B50"/>
    <w:rsid w:val="005B46CA"/>
    <w:rsid w:val="005C173B"/>
    <w:rsid w:val="005F0B53"/>
    <w:rsid w:val="0060552E"/>
    <w:rsid w:val="006101EE"/>
    <w:rsid w:val="006267D3"/>
    <w:rsid w:val="00642657"/>
    <w:rsid w:val="00657535"/>
    <w:rsid w:val="00672781"/>
    <w:rsid w:val="00680BE7"/>
    <w:rsid w:val="00697A6A"/>
    <w:rsid w:val="00697C24"/>
    <w:rsid w:val="006A4270"/>
    <w:rsid w:val="006C164B"/>
    <w:rsid w:val="006D44B7"/>
    <w:rsid w:val="006E3133"/>
    <w:rsid w:val="00717513"/>
    <w:rsid w:val="0074715C"/>
    <w:rsid w:val="00756E75"/>
    <w:rsid w:val="007651EA"/>
    <w:rsid w:val="00797BC2"/>
    <w:rsid w:val="007A08B1"/>
    <w:rsid w:val="007A6149"/>
    <w:rsid w:val="007E4C06"/>
    <w:rsid w:val="007F5224"/>
    <w:rsid w:val="00823B71"/>
    <w:rsid w:val="00856FBC"/>
    <w:rsid w:val="00886A13"/>
    <w:rsid w:val="008874A4"/>
    <w:rsid w:val="008902B8"/>
    <w:rsid w:val="008B72EC"/>
    <w:rsid w:val="008C7E9F"/>
    <w:rsid w:val="008D3A90"/>
    <w:rsid w:val="008E0625"/>
    <w:rsid w:val="008F23E6"/>
    <w:rsid w:val="00901F76"/>
    <w:rsid w:val="00902AA3"/>
    <w:rsid w:val="00940353"/>
    <w:rsid w:val="00942367"/>
    <w:rsid w:val="0096137F"/>
    <w:rsid w:val="00967D9B"/>
    <w:rsid w:val="009721E2"/>
    <w:rsid w:val="00983526"/>
    <w:rsid w:val="009C65BD"/>
    <w:rsid w:val="009D3C69"/>
    <w:rsid w:val="009F436C"/>
    <w:rsid w:val="00A0303D"/>
    <w:rsid w:val="00A27FDF"/>
    <w:rsid w:val="00A66DFA"/>
    <w:rsid w:val="00AA4A3D"/>
    <w:rsid w:val="00B2126C"/>
    <w:rsid w:val="00B26413"/>
    <w:rsid w:val="00B52386"/>
    <w:rsid w:val="00B54108"/>
    <w:rsid w:val="00B83ACE"/>
    <w:rsid w:val="00BC4BF9"/>
    <w:rsid w:val="00BD1920"/>
    <w:rsid w:val="00BD2D55"/>
    <w:rsid w:val="00BE1B21"/>
    <w:rsid w:val="00BE31B8"/>
    <w:rsid w:val="00C0763D"/>
    <w:rsid w:val="00C103EF"/>
    <w:rsid w:val="00C10F75"/>
    <w:rsid w:val="00C239F6"/>
    <w:rsid w:val="00C2646C"/>
    <w:rsid w:val="00C37D0A"/>
    <w:rsid w:val="00C44B75"/>
    <w:rsid w:val="00C464F7"/>
    <w:rsid w:val="00C96780"/>
    <w:rsid w:val="00D15877"/>
    <w:rsid w:val="00D17FE2"/>
    <w:rsid w:val="00D561DA"/>
    <w:rsid w:val="00D738C2"/>
    <w:rsid w:val="00DA3DFD"/>
    <w:rsid w:val="00DB68F8"/>
    <w:rsid w:val="00DD3EA7"/>
    <w:rsid w:val="00E04F5E"/>
    <w:rsid w:val="00E17B8E"/>
    <w:rsid w:val="00E30504"/>
    <w:rsid w:val="00E64949"/>
    <w:rsid w:val="00E67D8E"/>
    <w:rsid w:val="00E84DD3"/>
    <w:rsid w:val="00E8590D"/>
    <w:rsid w:val="00EB1BF2"/>
    <w:rsid w:val="00EE0FC7"/>
    <w:rsid w:val="00F51DDC"/>
    <w:rsid w:val="00F613D1"/>
    <w:rsid w:val="00F714EA"/>
    <w:rsid w:val="00FA41C1"/>
    <w:rsid w:val="00FA7635"/>
    <w:rsid w:val="00FD5730"/>
    <w:rsid w:val="00FF4F73"/>
    <w:rsid w:val="00FF626C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7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E0FC7"/>
    <w:pPr>
      <w:keepNext/>
      <w:outlineLvl w:val="0"/>
    </w:pPr>
    <w:rPr>
      <w:bCs/>
      <w:kern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0FC7"/>
    <w:rPr>
      <w:rFonts w:eastAsia="Times New Roman" w:cs="Times New Roman"/>
      <w:bCs/>
      <w:kern w:val="32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F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FC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B3B5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6DFA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F0B5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1F76"/>
    <w:rPr>
      <w:rFonts w:eastAsia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1F76"/>
    <w:rPr>
      <w:rFonts w:eastAsia="Times New Roman" w:cs="Times New Roman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541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4108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4108"/>
    <w:rPr>
      <w:rFonts w:eastAsia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41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4108"/>
    <w:rPr>
      <w:rFonts w:eastAsia="Times New Roman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7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E0FC7"/>
    <w:pPr>
      <w:keepNext/>
      <w:outlineLvl w:val="0"/>
    </w:pPr>
    <w:rPr>
      <w:bCs/>
      <w:kern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0FC7"/>
    <w:rPr>
      <w:rFonts w:eastAsia="Times New Roman" w:cs="Times New Roman"/>
      <w:bCs/>
      <w:kern w:val="32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F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FC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B3B5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6DFA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F0B5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1F76"/>
    <w:rPr>
      <w:rFonts w:eastAsia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1F76"/>
    <w:rPr>
      <w:rFonts w:eastAsia="Times New Roman" w:cs="Times New Roman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541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4108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4108"/>
    <w:rPr>
      <w:rFonts w:eastAsia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41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4108"/>
    <w:rPr>
      <w:rFonts w:eastAsia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martinko</dc:creator>
  <cp:lastModifiedBy>biserka coh mikulec</cp:lastModifiedBy>
  <cp:revision>2</cp:revision>
  <cp:lastPrinted>2018-01-15T14:07:00Z</cp:lastPrinted>
  <dcterms:created xsi:type="dcterms:W3CDTF">2019-01-16T12:34:00Z</dcterms:created>
  <dcterms:modified xsi:type="dcterms:W3CDTF">2019-01-16T12:34:00Z</dcterms:modified>
</cp:coreProperties>
</file>