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BE" w:rsidRDefault="005604BE" w:rsidP="00E340DA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bookmarkStart w:id="0" w:name="_GoBack"/>
      <w:bookmarkEnd w:id="0"/>
    </w:p>
    <w:p w:rsidR="003F5C62" w:rsidRDefault="00E340DA" w:rsidP="00E340DA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616FB5">
        <w:rPr>
          <w:rFonts w:ascii="Arial" w:hAnsi="Arial" w:cs="Arial"/>
          <w:b/>
          <w:color w:val="002060"/>
          <w:sz w:val="28"/>
          <w:szCs w:val="28"/>
        </w:rPr>
        <w:t>BILJEŠKE UZ FINANCIJSKE IZVJEŠTAJE</w:t>
      </w:r>
    </w:p>
    <w:p w:rsidR="00616FB5" w:rsidRPr="005B0C3F" w:rsidRDefault="005604BE" w:rsidP="00E340DA">
      <w:pPr>
        <w:spacing w:after="0"/>
        <w:rPr>
          <w:rFonts w:ascii="Arial" w:hAnsi="Arial" w:cs="Arial"/>
          <w:b/>
          <w:color w:val="FFFFFF" w:themeColor="background1"/>
          <w:sz w:val="24"/>
          <w:szCs w:val="24"/>
          <w14:textFill>
            <w14:noFill/>
          </w14:textFill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ED0E9" wp14:editId="25D14A98">
                <wp:simplePos x="0" y="0"/>
                <wp:positionH relativeFrom="column">
                  <wp:posOffset>-56903</wp:posOffset>
                </wp:positionH>
                <wp:positionV relativeFrom="paragraph">
                  <wp:posOffset>1403985</wp:posOffset>
                </wp:positionV>
                <wp:extent cx="1282535" cy="1306195"/>
                <wp:effectExtent l="0" t="0" r="0" b="825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535" cy="130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707B" w:rsidRDefault="009550FF" w:rsidP="009550F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35A61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Financijsko izvještavanje </w:t>
                            </w:r>
                          </w:p>
                          <w:p w:rsidR="009550FF" w:rsidRPr="00B35A61" w:rsidRDefault="009550FF" w:rsidP="009550F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35A61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u sustavu dvojnog knjigovodstva </w:t>
                            </w:r>
                          </w:p>
                          <w:p w:rsidR="009550FF" w:rsidRPr="009550FF" w:rsidRDefault="009550FF" w:rsidP="009550F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ED0E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4.5pt;margin-top:110.55pt;width:101pt;height:1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" filled="f" stroked="f">
                <v:textbox>
                  <w:txbxContent>
                    <w:p w:rsidR="00B8707B" w:rsidRDefault="009550FF" w:rsidP="009550FF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B35A61">
                        <w:rPr>
                          <w:rFonts w:ascii="Arial" w:hAnsi="Arial"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 xml:space="preserve">Financijsko izvještavanje </w:t>
                      </w:r>
                    </w:p>
                    <w:p w:rsidR="009550FF" w:rsidRPr="00B35A61" w:rsidRDefault="009550FF" w:rsidP="009550FF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B35A61">
                        <w:rPr>
                          <w:rFonts w:ascii="Arial" w:hAnsi="Arial"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 xml:space="preserve">u sustavu dvojnog knjigovodstva </w:t>
                      </w:r>
                    </w:p>
                    <w:p w:rsidR="009550FF" w:rsidRPr="009550FF" w:rsidRDefault="009550FF" w:rsidP="009550FF">
                      <w:pPr>
                        <w:spacing w:after="0"/>
                        <w:jc w:val="center"/>
                        <w:rPr>
                          <w:rFonts w:ascii="Arial" w:hAnsi="Arial" w:cs="Arial"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0F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89F1" wp14:editId="1403B2A7">
                <wp:simplePos x="0" y="0"/>
                <wp:positionH relativeFrom="column">
                  <wp:posOffset>-56837</wp:posOffset>
                </wp:positionH>
                <wp:positionV relativeFrom="paragraph">
                  <wp:posOffset>4681220</wp:posOffset>
                </wp:positionV>
                <wp:extent cx="1211283" cy="1199407"/>
                <wp:effectExtent l="0" t="0" r="0" b="1270"/>
                <wp:wrapNone/>
                <wp:docPr id="16" name="Tekstni 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283" cy="1199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50FF" w:rsidRPr="00B35A61" w:rsidRDefault="009550FF" w:rsidP="009550F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35A61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Financijsko izvještavanje u sustavu jednostavnog knjigovodstva</w:t>
                            </w:r>
                          </w:p>
                          <w:p w:rsidR="009550FF" w:rsidRPr="009550FF" w:rsidRDefault="009550FF" w:rsidP="009550FF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89F1" id="Tekstni okvir 16" o:spid="_x0000_s1027" type="#_x0000_t202" style="position:absolute;margin-left:-4.5pt;margin-top:368.6pt;width:95.4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" filled="f" stroked="f">
                <v:fill o:detectmouseclick="t"/>
                <v:textbox>
                  <w:txbxContent>
                    <w:p w:rsidR="009550FF" w:rsidRPr="00B35A61" w:rsidRDefault="009550FF" w:rsidP="009550FF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B35A61">
                        <w:rPr>
                          <w:rFonts w:ascii="Arial" w:hAnsi="Arial" w:cs="Arial"/>
                          <w:b/>
                          <w:i/>
                          <w:color w:val="002060"/>
                          <w:sz w:val="24"/>
                          <w:szCs w:val="24"/>
                        </w:rPr>
                        <w:t>Financijsko izvještavanje u sustavu jednostavnog knjigovodstva</w:t>
                      </w:r>
                    </w:p>
                    <w:p w:rsidR="009550FF" w:rsidRPr="009550FF" w:rsidRDefault="009550FF" w:rsidP="009550FF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7A1B">
        <w:rPr>
          <w:rFonts w:ascii="Arial" w:hAnsi="Arial" w:cs="Arial"/>
          <w:b/>
          <w:noProof/>
          <w:color w:val="002060"/>
          <w:sz w:val="24"/>
          <w:szCs w:val="24"/>
          <w:lang w:eastAsia="hr-HR"/>
        </w:rPr>
        <w:drawing>
          <wp:inline distT="0" distB="0" distL="0" distR="0" wp14:anchorId="46B0EE1C" wp14:editId="0CAB8CA7">
            <wp:extent cx="5486400" cy="7528956"/>
            <wp:effectExtent l="0" t="0" r="38100" b="0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16FB5" w:rsidRDefault="00616FB5" w:rsidP="00E340DA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:rsidR="00FF7A1B" w:rsidRDefault="00FF7A1B" w:rsidP="00E340DA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sectPr w:rsidR="00FF7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FD9"/>
    <w:multiLevelType w:val="hybridMultilevel"/>
    <w:tmpl w:val="B7FA68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325CD"/>
    <w:multiLevelType w:val="hybridMultilevel"/>
    <w:tmpl w:val="A1B07DE2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DA"/>
    <w:rsid w:val="001471CD"/>
    <w:rsid w:val="00156DD4"/>
    <w:rsid w:val="002A4E17"/>
    <w:rsid w:val="003813CA"/>
    <w:rsid w:val="003C00DF"/>
    <w:rsid w:val="003F5C62"/>
    <w:rsid w:val="005604BE"/>
    <w:rsid w:val="00570632"/>
    <w:rsid w:val="005B0C3F"/>
    <w:rsid w:val="00616FB5"/>
    <w:rsid w:val="00670334"/>
    <w:rsid w:val="0079776B"/>
    <w:rsid w:val="008A3149"/>
    <w:rsid w:val="008C1074"/>
    <w:rsid w:val="00934FF8"/>
    <w:rsid w:val="009550FF"/>
    <w:rsid w:val="00A17318"/>
    <w:rsid w:val="00A60BD0"/>
    <w:rsid w:val="00A9018E"/>
    <w:rsid w:val="00AA6EA6"/>
    <w:rsid w:val="00B338BF"/>
    <w:rsid w:val="00B35A61"/>
    <w:rsid w:val="00B8707B"/>
    <w:rsid w:val="00BA7D21"/>
    <w:rsid w:val="00C80056"/>
    <w:rsid w:val="00E340DA"/>
    <w:rsid w:val="00E65EB1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E8A1-2AF3-4EEC-81A3-0BD12846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40D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977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9776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9776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977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776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7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23571B-9F12-4F9D-BC86-F2599EDA587D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E330A45B-3C3D-4CF1-958F-6AE4522957FC}">
      <dgm:prSet phldrT="[Tekst]" custT="1"/>
      <dgm:spPr/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Prema odredbama članka 9. Pravilnika o izvještavanju u neprofitnom računovodstvu i Registru neprofitnih organizacija (Narodne novine 31/15, 67/17, 115/18 i 21/21): </a:t>
          </a:r>
        </a:p>
        <a:p>
          <a:pPr algn="just">
            <a:lnSpc>
              <a:spcPct val="100000"/>
            </a:lnSpc>
            <a:spcAft>
              <a:spcPts val="0"/>
            </a:spcAft>
          </a:pP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  <a:sym typeface="Symbol" panose="05050102010706020507" pitchFamily="18" charset="2"/>
            </a:rPr>
            <a:t> </a:t>
          </a: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Bilješke su dopuna podataka uz financijske izvještaje.</a:t>
          </a: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  <a:sym typeface="Symbol" panose="05050102010706020507" pitchFamily="18" charset="2"/>
            </a:rPr>
            <a:t> </a:t>
          </a: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Bilješke mogu biti opisne, brojčane ili kombinirane. Označavaju se rednim brojevima s pozivom na AOP oznaku izvještaja na koju se odnose.</a:t>
          </a:r>
        </a:p>
        <a:p>
          <a:pPr algn="just">
            <a:lnSpc>
              <a:spcPct val="100000"/>
            </a:lnSpc>
            <a:spcAft>
              <a:spcPts val="0"/>
            </a:spcAft>
          </a:pP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  <a:sym typeface="Symbol" panose="05050102010706020507" pitchFamily="18" charset="2"/>
            </a:rPr>
            <a:t> </a:t>
          </a: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Obvezne Bilješke uz Bilancu su: (1) pregled ugovornih odnosa i slično koji, uz ispunjenje određenih uvjeta, mogu postati obveza ili imovina (dana kreditna pisma, hipoteke, sporovi na sudu koji su u tijeku…) i (2) pregled stanja i rokova dospijeća dugoročnih i kratkoročnih kredita i zajmova te posebno robnih kredita i financijskih najmova (leasing).</a:t>
          </a:r>
        </a:p>
        <a:p>
          <a:pPr algn="just">
            <a:lnSpc>
              <a:spcPct val="100000"/>
            </a:lnSpc>
            <a:spcAft>
              <a:spcPts val="0"/>
            </a:spcAft>
          </a:pP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  <a:sym typeface="Symbol" panose="05050102010706020507" pitchFamily="18" charset="2"/>
            </a:rPr>
            <a:t> </a:t>
          </a: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U Bilješkama uz Izvještaj o prihodima i rashodima, potrebno je navesti razloge zbog kojih je došlo do većih odstupanja u odnosu na ostvarenje prethodne godine.</a:t>
          </a:r>
        </a:p>
      </dgm:t>
    </dgm:pt>
    <dgm:pt modelId="{29D2A2F4-85B8-4BD6-82CA-002A343C4077}" type="parTrans" cxnId="{4B9C4E62-888E-4BCD-BFE2-FBB9870E9456}">
      <dgm:prSet/>
      <dgm:spPr/>
      <dgm:t>
        <a:bodyPr/>
        <a:lstStyle/>
        <a:p>
          <a:endParaRPr lang="hr-HR"/>
        </a:p>
      </dgm:t>
    </dgm:pt>
    <dgm:pt modelId="{F931FC17-CC08-4155-BE52-5AE1C414027F}" type="sibTrans" cxnId="{4B9C4E62-888E-4BCD-BFE2-FBB9870E9456}">
      <dgm:prSet/>
      <dgm:spPr/>
      <dgm:t>
        <a:bodyPr/>
        <a:lstStyle/>
        <a:p>
          <a:endParaRPr lang="hr-HR"/>
        </a:p>
      </dgm:t>
    </dgm:pt>
    <dgm:pt modelId="{FAD1B189-9E3C-47FA-B93E-7FD7E28935E0}">
      <dgm:prSet phldrT="[Tekst]" custT="1"/>
      <dgm:spPr/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Prema odredbama članka 7. Pravilnika o izmjenama i dopunama Pravilnika o izvještavanju u neprofitnom računovodstvu i Registru neprofitnih organizacija (Narodne novine 67/17):</a:t>
          </a:r>
        </a:p>
        <a:p>
          <a:pPr algn="just">
            <a:lnSpc>
              <a:spcPct val="100000"/>
            </a:lnSpc>
            <a:spcAft>
              <a:spcPts val="0"/>
            </a:spcAft>
          </a:pP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  <a:sym typeface="Symbol" panose="05050102010706020507" pitchFamily="18" charset="2"/>
            </a:rPr>
            <a:t> </a:t>
          </a: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Bilješke uz godišnji izvještaj o primicima i izdacima su dopuna podataka uz financijski izvještaj.</a:t>
          </a:r>
        </a:p>
        <a:p>
          <a:pPr algn="just">
            <a:lnSpc>
              <a:spcPct val="100000"/>
            </a:lnSpc>
            <a:spcAft>
              <a:spcPts val="0"/>
            </a:spcAft>
          </a:pP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  <a:sym typeface="Symbol" panose="05050102010706020507" pitchFamily="18" charset="2"/>
            </a:rPr>
            <a:t> </a:t>
          </a:r>
          <a:r>
            <a:rPr lang="hr-HR" sz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U bilješkama uz godišnji financijski izvještaj o primicima i izdacima potrebno je navesti razloge zbog kojih je došlo do odstupanja u odnosu na ostvarenje iz prethodne godine.</a:t>
          </a:r>
        </a:p>
      </dgm:t>
    </dgm:pt>
    <dgm:pt modelId="{1C4DFB98-54BE-424F-89ED-74CD184C9F58}" type="parTrans" cxnId="{7071570A-D7A8-4C00-AEA5-99C60A323BFF}">
      <dgm:prSet/>
      <dgm:spPr/>
      <dgm:t>
        <a:bodyPr/>
        <a:lstStyle/>
        <a:p>
          <a:endParaRPr lang="hr-HR"/>
        </a:p>
      </dgm:t>
    </dgm:pt>
    <dgm:pt modelId="{9053EDD2-B151-49A7-90B1-CFB79D0E3850}" type="sibTrans" cxnId="{7071570A-D7A8-4C00-AEA5-99C60A323BFF}">
      <dgm:prSet/>
      <dgm:spPr/>
      <dgm:t>
        <a:bodyPr/>
        <a:lstStyle/>
        <a:p>
          <a:endParaRPr lang="hr-HR"/>
        </a:p>
      </dgm:t>
    </dgm:pt>
    <dgm:pt modelId="{EEBBCF7B-F4B0-49C0-9812-12878BA5E53D}" type="pres">
      <dgm:prSet presAssocID="{D523571B-9F12-4F9D-BC86-F2599EDA587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0CA9583C-DA8A-4D5F-86B9-B1CCEE9DF2E5}" type="pres">
      <dgm:prSet presAssocID="{E330A45B-3C3D-4CF1-958F-6AE4522957FC}" presName="composite" presStyleCnt="0"/>
      <dgm:spPr/>
    </dgm:pt>
    <dgm:pt modelId="{69626C0B-4619-4376-915D-29240076FC36}" type="pres">
      <dgm:prSet presAssocID="{E330A45B-3C3D-4CF1-958F-6AE4522957FC}" presName="rect1" presStyleLbl="trAlignAcc1" presStyleIdx="0" presStyleCnt="2" custScaleY="200558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4331FE3-9720-4BC1-9CD1-0F1C43E5470F}" type="pres">
      <dgm:prSet presAssocID="{E330A45B-3C3D-4CF1-958F-6AE4522957FC}" presName="rect2" presStyleLbl="fgImgPlace1" presStyleIdx="0" presStyleCnt="2"/>
      <dgm:spPr>
        <a:solidFill>
          <a:schemeClr val="accent1">
            <a:tint val="50000"/>
            <a:hueOff val="0"/>
            <a:satOff val="0"/>
            <a:lumOff val="0"/>
          </a:schemeClr>
        </a:solidFill>
      </dgm:spPr>
      <dgm:extLst>
        <a:ext uri="{E40237B7-FDA0-4F09-8148-C483321AD2D9}">
          <dgm14:cNvPr xmlns:dgm14="http://schemas.microsoft.com/office/drawing/2010/diagram" id="0" name="" title="Financijsko izvještavanje u sustavu dvojnog knjigovodstva "/>
        </a:ext>
      </dgm:extLst>
    </dgm:pt>
    <dgm:pt modelId="{ED421C7A-0C45-406B-950B-22CEABD1F075}" type="pres">
      <dgm:prSet presAssocID="{F931FC17-CC08-4155-BE52-5AE1C414027F}" presName="sibTrans" presStyleCnt="0"/>
      <dgm:spPr/>
    </dgm:pt>
    <dgm:pt modelId="{33455377-72AB-4098-810B-CDB9670266C0}" type="pres">
      <dgm:prSet presAssocID="{FAD1B189-9E3C-47FA-B93E-7FD7E28935E0}" presName="composite" presStyleCnt="0"/>
      <dgm:spPr/>
    </dgm:pt>
    <dgm:pt modelId="{9BA034D4-8123-4441-BD48-C596E092F467}" type="pres">
      <dgm:prSet presAssocID="{FAD1B189-9E3C-47FA-B93E-7FD7E28935E0}" presName="rect1" presStyleLbl="trAlignAcc1" presStyleIdx="1" presStyleCnt="2" custScaleY="17923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679639D-1318-4697-AC2A-A262ED1AE8DC}" type="pres">
      <dgm:prSet presAssocID="{FAD1B189-9E3C-47FA-B93E-7FD7E28935E0}" presName="rect2" presStyleLbl="fgImgPlace1" presStyleIdx="1" presStyleCnt="2"/>
      <dgm:spPr>
        <a:solidFill>
          <a:schemeClr val="accent1">
            <a:tint val="50000"/>
            <a:hueOff val="0"/>
            <a:satOff val="0"/>
            <a:lumOff val="0"/>
          </a:schemeClr>
        </a:solidFill>
      </dgm:spPr>
    </dgm:pt>
  </dgm:ptLst>
  <dgm:cxnLst>
    <dgm:cxn modelId="{7071570A-D7A8-4C00-AEA5-99C60A323BFF}" srcId="{D523571B-9F12-4F9D-BC86-F2599EDA587D}" destId="{FAD1B189-9E3C-47FA-B93E-7FD7E28935E0}" srcOrd="1" destOrd="0" parTransId="{1C4DFB98-54BE-424F-89ED-74CD184C9F58}" sibTransId="{9053EDD2-B151-49A7-90B1-CFB79D0E3850}"/>
    <dgm:cxn modelId="{4B9C4E62-888E-4BCD-BFE2-FBB9870E9456}" srcId="{D523571B-9F12-4F9D-BC86-F2599EDA587D}" destId="{E330A45B-3C3D-4CF1-958F-6AE4522957FC}" srcOrd="0" destOrd="0" parTransId="{29D2A2F4-85B8-4BD6-82CA-002A343C4077}" sibTransId="{F931FC17-CC08-4155-BE52-5AE1C414027F}"/>
    <dgm:cxn modelId="{2238B3FA-9B1D-404F-9CB7-5E62B5A216C2}" type="presOf" srcId="{E330A45B-3C3D-4CF1-958F-6AE4522957FC}" destId="{69626C0B-4619-4376-915D-29240076FC36}" srcOrd="0" destOrd="0" presId="urn:microsoft.com/office/officeart/2008/layout/PictureStrips"/>
    <dgm:cxn modelId="{CBCD6BBC-98BD-4D4B-8E3B-8C3E4276F26B}" type="presOf" srcId="{D523571B-9F12-4F9D-BC86-F2599EDA587D}" destId="{EEBBCF7B-F4B0-49C0-9812-12878BA5E53D}" srcOrd="0" destOrd="0" presId="urn:microsoft.com/office/officeart/2008/layout/PictureStrips"/>
    <dgm:cxn modelId="{40C98A60-AD73-463F-87BE-51878267F3EF}" type="presOf" srcId="{FAD1B189-9E3C-47FA-B93E-7FD7E28935E0}" destId="{9BA034D4-8123-4441-BD48-C596E092F467}" srcOrd="0" destOrd="0" presId="urn:microsoft.com/office/officeart/2008/layout/PictureStrips"/>
    <dgm:cxn modelId="{168A6ADF-283D-4044-A449-661CA1BEBD4B}" type="presParOf" srcId="{EEBBCF7B-F4B0-49C0-9812-12878BA5E53D}" destId="{0CA9583C-DA8A-4D5F-86B9-B1CCEE9DF2E5}" srcOrd="0" destOrd="0" presId="urn:microsoft.com/office/officeart/2008/layout/PictureStrips"/>
    <dgm:cxn modelId="{26B5B0E2-949C-4CE6-A9DD-579EAB652D6A}" type="presParOf" srcId="{0CA9583C-DA8A-4D5F-86B9-B1CCEE9DF2E5}" destId="{69626C0B-4619-4376-915D-29240076FC36}" srcOrd="0" destOrd="0" presId="urn:microsoft.com/office/officeart/2008/layout/PictureStrips"/>
    <dgm:cxn modelId="{21263E0B-BFC9-4952-87D7-A4940D685EC8}" type="presParOf" srcId="{0CA9583C-DA8A-4D5F-86B9-B1CCEE9DF2E5}" destId="{D4331FE3-9720-4BC1-9CD1-0F1C43E5470F}" srcOrd="1" destOrd="0" presId="urn:microsoft.com/office/officeart/2008/layout/PictureStrips"/>
    <dgm:cxn modelId="{194F71A9-EBD0-4221-9720-2B86F642F1B6}" type="presParOf" srcId="{EEBBCF7B-F4B0-49C0-9812-12878BA5E53D}" destId="{ED421C7A-0C45-406B-950B-22CEABD1F075}" srcOrd="1" destOrd="0" presId="urn:microsoft.com/office/officeart/2008/layout/PictureStrips"/>
    <dgm:cxn modelId="{BD6F54E6-3082-4508-81BC-50B2720CCA1E}" type="presParOf" srcId="{EEBBCF7B-F4B0-49C0-9812-12878BA5E53D}" destId="{33455377-72AB-4098-810B-CDB9670266C0}" srcOrd="2" destOrd="0" presId="urn:microsoft.com/office/officeart/2008/layout/PictureStrips"/>
    <dgm:cxn modelId="{D3625081-45CD-4486-9DA5-2C4E94F0BB09}" type="presParOf" srcId="{33455377-72AB-4098-810B-CDB9670266C0}" destId="{9BA034D4-8123-4441-BD48-C596E092F467}" srcOrd="0" destOrd="0" presId="urn:microsoft.com/office/officeart/2008/layout/PictureStrips"/>
    <dgm:cxn modelId="{ACB93A1C-BBD0-45F7-952D-FC219BDC77C6}" type="presParOf" srcId="{33455377-72AB-4098-810B-CDB9670266C0}" destId="{B679639D-1318-4697-AC2A-A262ED1AE8DC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626C0B-4619-4376-915D-29240076FC36}">
      <dsp:nvSpPr>
        <dsp:cNvPr id="0" name=""/>
        <dsp:cNvSpPr/>
      </dsp:nvSpPr>
      <dsp:spPr>
        <a:xfrm>
          <a:off x="221920" y="547902"/>
          <a:ext cx="5261800" cy="3297800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13748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Prema odredbama članka 9. Pravilnika o izvještavanju u neprofitnom računovodstvu i Registru neprofitnih organizacija (Narodne novine 31/15, 67/17, 115/18 i 21/21): </a:t>
          </a:r>
        </a:p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  <a:sym typeface="Symbol" panose="05050102010706020507" pitchFamily="18" charset="2"/>
            </a:rPr>
            <a:t> </a:t>
          </a: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Bilješke su dopuna podataka uz financijske izvještaje.</a:t>
          </a:r>
        </a:p>
        <a:p>
          <a:pPr lvl="0" algn="l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  <a:sym typeface="Symbol" panose="05050102010706020507" pitchFamily="18" charset="2"/>
            </a:rPr>
            <a:t> </a:t>
          </a: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Bilješke mogu biti opisne, brojčane ili kombinirane. Označavaju se rednim brojevima s pozivom na AOP oznaku izvještaja na koju se odnose.</a:t>
          </a:r>
        </a:p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  <a:sym typeface="Symbol" panose="05050102010706020507" pitchFamily="18" charset="2"/>
            </a:rPr>
            <a:t> </a:t>
          </a: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Obvezne Bilješke uz Bilancu su: (1) pregled ugovornih odnosa i slično koji, uz ispunjenje određenih uvjeta, mogu postati obveza ili imovina (dana kreditna pisma, hipoteke, sporovi na sudu koji su u tijeku…) i (2) pregled stanja i rokova dospijeća dugoročnih i kratkoročnih kredita i zajmova te posebno robnih kredita i financijskih najmova (leasing).</a:t>
          </a:r>
        </a:p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  <a:sym typeface="Symbol" panose="05050102010706020507" pitchFamily="18" charset="2"/>
            </a:rPr>
            <a:t> </a:t>
          </a: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U Bilješkama uz Izvještaj o prihodima i rashodima, potrebno je navesti razloge zbog kojih je došlo do većih odstupanja u odnosu na ostvarenje prethodne godine.</a:t>
          </a:r>
        </a:p>
      </dsp:txBody>
      <dsp:txXfrm>
        <a:off x="221920" y="547902"/>
        <a:ext cx="5261800" cy="3297800"/>
      </dsp:txXfrm>
    </dsp:sp>
    <dsp:sp modelId="{D4331FE3-9720-4BC1-9CD1-0F1C43E5470F}">
      <dsp:nvSpPr>
        <dsp:cNvPr id="0" name=""/>
        <dsp:cNvSpPr/>
      </dsp:nvSpPr>
      <dsp:spPr>
        <a:xfrm>
          <a:off x="2678" y="1137134"/>
          <a:ext cx="1151018" cy="1726528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BA034D4-8123-4441-BD48-C596E092F467}">
      <dsp:nvSpPr>
        <dsp:cNvPr id="0" name=""/>
        <dsp:cNvSpPr/>
      </dsp:nvSpPr>
      <dsp:spPr>
        <a:xfrm>
          <a:off x="221920" y="4033885"/>
          <a:ext cx="5261800" cy="2947167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13748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Prema odredbama članka 7. Pravilnika o izmjenama i dopunama Pravilnika o izvještavanju u neprofitnom računovodstvu i Registru neprofitnih organizacija (Narodne novine 67/17):</a:t>
          </a:r>
        </a:p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  <a:sym typeface="Symbol" panose="05050102010706020507" pitchFamily="18" charset="2"/>
            </a:rPr>
            <a:t> </a:t>
          </a: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Bilješke uz godišnji izvještaj o primicima i izdacima su dopuna podataka uz financijski izvještaj.</a:t>
          </a:r>
        </a:p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  <a:sym typeface="Symbol" panose="05050102010706020507" pitchFamily="18" charset="2"/>
            </a:rPr>
            <a:t> </a:t>
          </a:r>
          <a:r>
            <a:rPr lang="hr-HR" sz="1200" kern="12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U bilješkama uz godišnji financijski izvještaj o primicima i izdacima potrebno je navesti razloge zbog kojih je došlo do odstupanja u odnosu na ostvarenje iz prethodne godine.</a:t>
          </a:r>
        </a:p>
      </dsp:txBody>
      <dsp:txXfrm>
        <a:off x="221920" y="4033885"/>
        <a:ext cx="5261800" cy="2947167"/>
      </dsp:txXfrm>
    </dsp:sp>
    <dsp:sp modelId="{B679639D-1318-4697-AC2A-A262ED1AE8DC}">
      <dsp:nvSpPr>
        <dsp:cNvPr id="0" name=""/>
        <dsp:cNvSpPr/>
      </dsp:nvSpPr>
      <dsp:spPr>
        <a:xfrm>
          <a:off x="2678" y="4447801"/>
          <a:ext cx="1151018" cy="1726528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sanja martinko</cp:lastModifiedBy>
  <cp:revision>9</cp:revision>
  <cp:lastPrinted>2019-01-10T11:13:00Z</cp:lastPrinted>
  <dcterms:created xsi:type="dcterms:W3CDTF">2022-12-23T11:05:00Z</dcterms:created>
  <dcterms:modified xsi:type="dcterms:W3CDTF">2023-01-18T19:38:00Z</dcterms:modified>
</cp:coreProperties>
</file>