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B66" w:rsidRPr="00BB6A98" w:rsidRDefault="00EB7300" w:rsidP="00E340DA">
      <w:pPr>
        <w:spacing w:after="0"/>
        <w:jc w:val="center"/>
        <w:rPr>
          <w:rFonts w:ascii="Arial" w:hAnsi="Arial" w:cs="Arial"/>
          <w:b/>
          <w:color w:val="002060"/>
          <w:sz w:val="28"/>
          <w:szCs w:val="28"/>
        </w:rPr>
      </w:pPr>
      <w:r w:rsidRPr="00BB6A98">
        <w:rPr>
          <w:rFonts w:ascii="Arial" w:hAnsi="Arial" w:cs="Arial"/>
          <w:b/>
          <w:color w:val="002060"/>
          <w:sz w:val="28"/>
          <w:szCs w:val="28"/>
        </w:rPr>
        <w:t xml:space="preserve">DOBROVOLJNI PRILOZI (DONACIJE) </w:t>
      </w:r>
      <w:r w:rsidR="005D1B66" w:rsidRPr="00BB6A98">
        <w:rPr>
          <w:rFonts w:ascii="Arial" w:hAnsi="Arial" w:cs="Arial"/>
          <w:b/>
          <w:color w:val="002060"/>
          <w:sz w:val="28"/>
          <w:szCs w:val="28"/>
        </w:rPr>
        <w:t xml:space="preserve">ZA FINANCIRANJE </w:t>
      </w:r>
    </w:p>
    <w:p w:rsidR="003F5C62" w:rsidRPr="00BB6A98" w:rsidRDefault="005D1B66" w:rsidP="00E340DA">
      <w:pPr>
        <w:spacing w:after="0"/>
        <w:jc w:val="center"/>
        <w:rPr>
          <w:rFonts w:ascii="Arial" w:hAnsi="Arial" w:cs="Arial"/>
          <w:b/>
          <w:color w:val="002060"/>
          <w:sz w:val="28"/>
          <w:szCs w:val="28"/>
        </w:rPr>
      </w:pPr>
      <w:r w:rsidRPr="00BB6A98">
        <w:rPr>
          <w:rFonts w:ascii="Arial" w:hAnsi="Arial" w:cs="Arial"/>
          <w:b/>
          <w:color w:val="002060"/>
          <w:sz w:val="28"/>
          <w:szCs w:val="28"/>
        </w:rPr>
        <w:t>REDOVITIH POLITIČKIH AKTIVNOSTI TIJEKOM GODINE</w:t>
      </w:r>
      <w:r w:rsidR="0005455B" w:rsidRPr="00BB6A98">
        <w:rPr>
          <w:rFonts w:ascii="Arial" w:hAnsi="Arial" w:cs="Arial"/>
          <w:b/>
          <w:color w:val="002060"/>
          <w:sz w:val="28"/>
          <w:szCs w:val="28"/>
        </w:rPr>
        <w:t xml:space="preserve"> </w:t>
      </w:r>
    </w:p>
    <w:p w:rsidR="00663851" w:rsidRDefault="00D842F3" w:rsidP="00E340DA">
      <w:pPr>
        <w:spacing w:after="0"/>
        <w:rPr>
          <w:rFonts w:ascii="Arial" w:hAnsi="Arial" w:cs="Arial"/>
          <w:b/>
          <w:color w:val="002060"/>
          <w:sz w:val="24"/>
          <w:szCs w:val="24"/>
        </w:rPr>
      </w:pPr>
      <w:r>
        <w:rPr>
          <w:rFonts w:ascii="Arial" w:hAnsi="Arial" w:cs="Arial"/>
          <w:b/>
          <w:color w:val="002060"/>
          <w:sz w:val="24"/>
          <w:szCs w:val="24"/>
        </w:rPr>
        <w:tab/>
      </w:r>
    </w:p>
    <w:p w:rsidR="004C4160" w:rsidRDefault="004C4160" w:rsidP="00E340DA">
      <w:pPr>
        <w:spacing w:after="0"/>
        <w:rPr>
          <w:rFonts w:ascii="Arial" w:hAnsi="Arial" w:cs="Arial"/>
          <w:b/>
          <w:color w:val="002060"/>
          <w:sz w:val="24"/>
          <w:szCs w:val="24"/>
        </w:rPr>
      </w:pPr>
    </w:p>
    <w:p w:rsidR="00D842F3" w:rsidRDefault="00D842F3" w:rsidP="00D842F3">
      <w:pPr>
        <w:spacing w:after="0"/>
        <w:jc w:val="both"/>
        <w:rPr>
          <w:rFonts w:ascii="Arial" w:hAnsi="Arial" w:cs="Arial"/>
          <w:color w:val="002060"/>
          <w:sz w:val="24"/>
          <w:szCs w:val="24"/>
        </w:rPr>
      </w:pPr>
      <w:r>
        <w:rPr>
          <w:rFonts w:ascii="Arial" w:hAnsi="Arial" w:cs="Arial"/>
          <w:b/>
          <w:color w:val="002060"/>
          <w:sz w:val="24"/>
          <w:szCs w:val="24"/>
        </w:rPr>
        <w:tab/>
      </w:r>
      <w:r w:rsidRPr="00D842F3">
        <w:rPr>
          <w:rFonts w:ascii="Arial" w:hAnsi="Arial" w:cs="Arial"/>
          <w:color w:val="002060"/>
          <w:sz w:val="24"/>
          <w:szCs w:val="24"/>
        </w:rPr>
        <w:t>Odredbama članaka 18. – 21. Zakona o financiranju političkih aktivnosti, izborne promidžbe i referenduma (Narodne novine 29/19 i 89/19)</w:t>
      </w:r>
      <w:r>
        <w:rPr>
          <w:rFonts w:ascii="Arial" w:hAnsi="Arial" w:cs="Arial"/>
          <w:color w:val="002060"/>
          <w:sz w:val="24"/>
          <w:szCs w:val="24"/>
        </w:rPr>
        <w:t>, propisano je financiranje redovitih godišnjih političkih aktivnosti iz donacija, ograničenje iznosa donacije za financiranje redovitih godišnjih političkih aktivnosti, evidencije o donacijama te polugodišnje izvješće o donacijama.</w:t>
      </w:r>
    </w:p>
    <w:p w:rsidR="00D842F3" w:rsidRDefault="00D842F3" w:rsidP="00D842F3">
      <w:pPr>
        <w:spacing w:after="0"/>
        <w:jc w:val="both"/>
        <w:rPr>
          <w:rFonts w:ascii="Arial" w:hAnsi="Arial" w:cs="Arial"/>
          <w:color w:val="002060"/>
          <w:sz w:val="24"/>
          <w:szCs w:val="24"/>
        </w:rPr>
      </w:pPr>
      <w:r>
        <w:rPr>
          <w:noProof/>
          <w:lang w:eastAsia="hr-HR"/>
        </w:rPr>
        <mc:AlternateContent>
          <mc:Choice Requires="wps">
            <w:drawing>
              <wp:anchor distT="0" distB="0" distL="114300" distR="114300" simplePos="0" relativeHeight="251659264" behindDoc="0" locked="0" layoutInCell="1" allowOverlap="1" wp14:anchorId="61D2FFDA" wp14:editId="76AE330C">
                <wp:simplePos x="0" y="0"/>
                <wp:positionH relativeFrom="column">
                  <wp:posOffset>-4445</wp:posOffset>
                </wp:positionH>
                <wp:positionV relativeFrom="paragraph">
                  <wp:posOffset>1703034</wp:posOffset>
                </wp:positionV>
                <wp:extent cx="1211283" cy="1314450"/>
                <wp:effectExtent l="0" t="0" r="0" b="0"/>
                <wp:wrapNone/>
                <wp:docPr id="16" name="Tekstni okvir 16"/>
                <wp:cNvGraphicFramePr/>
                <a:graphic xmlns:a="http://schemas.openxmlformats.org/drawingml/2006/main">
                  <a:graphicData uri="http://schemas.microsoft.com/office/word/2010/wordprocessingShape">
                    <wps:wsp>
                      <wps:cNvSpPr txBox="1"/>
                      <wps:spPr>
                        <a:xfrm>
                          <a:off x="0" y="0"/>
                          <a:ext cx="1211283" cy="1314450"/>
                        </a:xfrm>
                        <a:prstGeom prst="rect">
                          <a:avLst/>
                        </a:prstGeom>
                        <a:noFill/>
                        <a:ln>
                          <a:noFill/>
                        </a:ln>
                      </wps:spPr>
                      <wps:txbx>
                        <w:txbxContent>
                          <w:p w:rsidR="00D842F3" w:rsidRPr="009550FF" w:rsidRDefault="00D842F3" w:rsidP="00D842F3">
                            <w:pPr>
                              <w:spacing w:after="0"/>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5A61">
                              <w:rPr>
                                <w:rFonts w:ascii="Arial" w:hAnsi="Arial" w:cs="Arial"/>
                                <w:b/>
                                <w:i/>
                                <w:color w:val="002060"/>
                                <w:sz w:val="24"/>
                                <w:szCs w:val="24"/>
                              </w:rPr>
                              <w:t>Financi</w:t>
                            </w:r>
                            <w:r>
                              <w:rPr>
                                <w:rFonts w:ascii="Arial" w:hAnsi="Arial" w:cs="Arial"/>
                                <w:b/>
                                <w:i/>
                                <w:color w:val="002060"/>
                                <w:sz w:val="24"/>
                                <w:szCs w:val="24"/>
                              </w:rPr>
                              <w:t>ranje redovitih godišnjih političkih aktivnosti iz donacija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2FFDA" id="_x0000_t202" coordsize="21600,21600" o:spt="202" path="m,l,21600r21600,l21600,xe">
                <v:stroke joinstyle="miter"/>
                <v:path gradientshapeok="t" o:connecttype="rect"/>
              </v:shapetype>
              <v:shape id="Tekstni okvir 16" o:spid="_x0000_s1026" type="#_x0000_t202" style="position:absolute;left:0;text-align:left;margin-left:-.35pt;margin-top:134.1pt;width:95.4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" filled="f" stroked="f">
                <v:textbox>
                  <w:txbxContent>
                    <w:p w:rsidR="00D842F3" w:rsidRPr="009550FF" w:rsidRDefault="00D842F3" w:rsidP="00D842F3">
                      <w:pPr>
                        <w:spacing w:after="0"/>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5A61">
                        <w:rPr>
                          <w:rFonts w:ascii="Arial" w:hAnsi="Arial" w:cs="Arial"/>
                          <w:b/>
                          <w:i/>
                          <w:color w:val="002060"/>
                          <w:sz w:val="24"/>
                          <w:szCs w:val="24"/>
                        </w:rPr>
                        <w:t>Financi</w:t>
                      </w:r>
                      <w:r>
                        <w:rPr>
                          <w:rFonts w:ascii="Arial" w:hAnsi="Arial" w:cs="Arial"/>
                          <w:b/>
                          <w:i/>
                          <w:color w:val="002060"/>
                          <w:sz w:val="24"/>
                          <w:szCs w:val="24"/>
                        </w:rPr>
                        <w:t>ranje redovitih godišnjih političkih aktivnosti iz donacija</w:t>
                      </w:r>
                    </w:p>
                  </w:txbxContent>
                </v:textbox>
              </v:shape>
            </w:pict>
          </mc:Fallback>
        </mc:AlternateContent>
      </w:r>
      <w:r>
        <w:rPr>
          <w:rFonts w:ascii="Arial" w:hAnsi="Arial" w:cs="Arial"/>
          <w:b/>
          <w:noProof/>
          <w:color w:val="002060"/>
          <w:sz w:val="24"/>
          <w:szCs w:val="24"/>
          <w:lang w:eastAsia="hr-HR"/>
        </w:rPr>
        <w:drawing>
          <wp:inline distT="0" distB="0" distL="0" distR="0" wp14:anchorId="484043F2" wp14:editId="647B7D85">
            <wp:extent cx="5486400" cy="5167222"/>
            <wp:effectExtent l="0" t="0" r="38100" b="0"/>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B6A98" w:rsidRPr="00FE46C3" w:rsidRDefault="00F768BD" w:rsidP="00BB6A98">
      <w:pPr>
        <w:spacing w:after="0"/>
        <w:ind w:left="708" w:right="992"/>
        <w:jc w:val="both"/>
        <w:rPr>
          <w:rFonts w:ascii="Arial" w:hAnsi="Arial" w:cs="Arial"/>
          <w:color w:val="0070C0"/>
          <w:sz w:val="24"/>
          <w:szCs w:val="24"/>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Prema odredbi članka 2., točaka</w:t>
      </w:r>
      <w:r w:rsidR="00BB6A98" w:rsidRPr="00FE46C3">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i 2. Zakona o financiranju političkih aktivnosti, izborne promidžbe i referenduma, „nezavisni zastupnik“ znači zastupnik izabran s neovisne liste i zastupnik nacionalnih manjina izabran s liste koju su predložili birači ili udruge nacionalnih manjina, a „nezavisni vijećnik“ znači član predstavničkog tijela jedinice lokalne i područne (regionalne) samouprave izabran s liste grupe birača. </w:t>
      </w:r>
    </w:p>
    <w:p w:rsidR="00D842F3" w:rsidRDefault="00D842F3" w:rsidP="00D842F3">
      <w:pPr>
        <w:spacing w:after="0"/>
        <w:jc w:val="both"/>
        <w:rPr>
          <w:rFonts w:ascii="Arial" w:hAnsi="Arial" w:cs="Arial"/>
          <w:color w:val="002060"/>
          <w:sz w:val="24"/>
          <w:szCs w:val="24"/>
        </w:rPr>
      </w:pPr>
    </w:p>
    <w:p w:rsidR="00D842F3" w:rsidRDefault="00D842F3" w:rsidP="00D842F3">
      <w:pPr>
        <w:spacing w:after="0"/>
        <w:jc w:val="both"/>
        <w:rPr>
          <w:rFonts w:ascii="Arial" w:hAnsi="Arial" w:cs="Arial"/>
          <w:color w:val="002060"/>
          <w:sz w:val="24"/>
          <w:szCs w:val="24"/>
        </w:rPr>
      </w:pPr>
    </w:p>
    <w:p w:rsidR="004C4160" w:rsidRDefault="004C4160" w:rsidP="00D842F3">
      <w:pPr>
        <w:spacing w:after="0"/>
        <w:jc w:val="both"/>
        <w:rPr>
          <w:rFonts w:ascii="Arial" w:hAnsi="Arial" w:cs="Arial"/>
          <w:color w:val="002060"/>
          <w:sz w:val="24"/>
          <w:szCs w:val="24"/>
        </w:rPr>
        <w:sectPr w:rsidR="004C4160" w:rsidSect="00663851">
          <w:headerReference w:type="default" r:id="rId13"/>
          <w:type w:val="continuous"/>
          <w:pgSz w:w="11906" w:h="16838"/>
          <w:pgMar w:top="1417" w:right="1417" w:bottom="1417" w:left="1417" w:header="708" w:footer="708" w:gutter="0"/>
          <w:pgNumType w:start="1"/>
          <w:cols w:space="708"/>
          <w:docGrid w:linePitch="360"/>
        </w:sectPr>
      </w:pPr>
    </w:p>
    <w:p w:rsidR="00D842F3" w:rsidRDefault="00D842F3" w:rsidP="00D842F3">
      <w:pPr>
        <w:spacing w:after="0"/>
        <w:jc w:val="both"/>
        <w:rPr>
          <w:rFonts w:ascii="Arial" w:hAnsi="Arial" w:cs="Arial"/>
          <w:color w:val="002060"/>
          <w:sz w:val="24"/>
          <w:szCs w:val="24"/>
        </w:rPr>
      </w:pPr>
    </w:p>
    <w:p w:rsidR="00D842F3" w:rsidRDefault="00D842F3" w:rsidP="00D842F3">
      <w:pPr>
        <w:spacing w:after="0"/>
        <w:jc w:val="both"/>
        <w:rPr>
          <w:rFonts w:ascii="Arial" w:hAnsi="Arial" w:cs="Arial"/>
          <w:color w:val="002060"/>
          <w:sz w:val="24"/>
          <w:szCs w:val="24"/>
        </w:rPr>
      </w:pPr>
    </w:p>
    <w:p w:rsidR="00D842F3" w:rsidRDefault="00473DCF" w:rsidP="00D842F3">
      <w:pPr>
        <w:spacing w:after="0"/>
        <w:jc w:val="both"/>
        <w:rPr>
          <w:rFonts w:ascii="Arial" w:hAnsi="Arial" w:cs="Arial"/>
          <w:color w:val="002060"/>
          <w:sz w:val="24"/>
          <w:szCs w:val="24"/>
        </w:rPr>
      </w:pPr>
      <w:r>
        <w:rPr>
          <w:noProof/>
          <w:lang w:eastAsia="hr-HR"/>
        </w:rPr>
        <w:lastRenderedPageBreak/>
        <mc:AlternateContent>
          <mc:Choice Requires="wps">
            <w:drawing>
              <wp:anchor distT="0" distB="0" distL="114300" distR="114300" simplePos="0" relativeHeight="251663360" behindDoc="0" locked="0" layoutInCell="1" allowOverlap="1" wp14:anchorId="7C8C2F9E" wp14:editId="290BCDF1">
                <wp:simplePos x="0" y="0"/>
                <wp:positionH relativeFrom="column">
                  <wp:posOffset>-2109</wp:posOffset>
                </wp:positionH>
                <wp:positionV relativeFrom="paragraph">
                  <wp:posOffset>4846655</wp:posOffset>
                </wp:positionV>
                <wp:extent cx="1238250" cy="133350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1238250" cy="1333500"/>
                        </a:xfrm>
                        <a:prstGeom prst="rect">
                          <a:avLst/>
                        </a:prstGeom>
                        <a:noFill/>
                        <a:ln>
                          <a:noFill/>
                        </a:ln>
                      </wps:spPr>
                      <wps:txbx>
                        <w:txbxContent>
                          <w:p w:rsidR="001435D3" w:rsidRPr="009550FF" w:rsidRDefault="001435D3" w:rsidP="001435D3">
                            <w:pPr>
                              <w:spacing w:after="0"/>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i/>
                                <w:color w:val="002060"/>
                                <w:sz w:val="24"/>
                                <w:szCs w:val="24"/>
                              </w:rPr>
                              <w:t>Izvješće o donacijama za financiranje redovne političke aktivnosti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C2F9E" id="Tekstni okvir 7" o:spid="_x0000_s1027" type="#_x0000_t202" style="position:absolute;left:0;text-align:left;margin-left:-.15pt;margin-top:381.65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" filled="f" stroked="f">
                <v:textbox>
                  <w:txbxContent>
                    <w:p w:rsidR="001435D3" w:rsidRPr="009550FF" w:rsidRDefault="001435D3" w:rsidP="001435D3">
                      <w:pPr>
                        <w:spacing w:after="0"/>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i/>
                          <w:color w:val="002060"/>
                          <w:sz w:val="24"/>
                          <w:szCs w:val="24"/>
                        </w:rPr>
                        <w:t>Izvješće o donacijama za financiranje redovne političke aktivnosti</w:t>
                      </w:r>
                    </w:p>
                  </w:txbxContent>
                </v:textbox>
              </v:shape>
            </w:pict>
          </mc:Fallback>
        </mc:AlternateContent>
      </w:r>
      <w:r w:rsidR="004C4160">
        <w:rPr>
          <w:noProof/>
          <w:lang w:eastAsia="hr-HR"/>
        </w:rPr>
        <mc:AlternateContent>
          <mc:Choice Requires="wps">
            <w:drawing>
              <wp:anchor distT="0" distB="0" distL="114300" distR="114300" simplePos="0" relativeHeight="251661312" behindDoc="0" locked="0" layoutInCell="1" allowOverlap="1" wp14:anchorId="0AA0DCBC" wp14:editId="5840D25D">
                <wp:simplePos x="0" y="0"/>
                <wp:positionH relativeFrom="column">
                  <wp:posOffset>43180</wp:posOffset>
                </wp:positionH>
                <wp:positionV relativeFrom="paragraph">
                  <wp:posOffset>1700530</wp:posOffset>
                </wp:positionV>
                <wp:extent cx="971550" cy="742950"/>
                <wp:effectExtent l="0" t="0" r="0" b="9525"/>
                <wp:wrapNone/>
                <wp:docPr id="5" name="Tekstni okvir 5"/>
                <wp:cNvGraphicFramePr/>
                <a:graphic xmlns:a="http://schemas.openxmlformats.org/drawingml/2006/main">
                  <a:graphicData uri="http://schemas.microsoft.com/office/word/2010/wordprocessingShape">
                    <wps:wsp>
                      <wps:cNvSpPr txBox="1"/>
                      <wps:spPr>
                        <a:xfrm>
                          <a:off x="0" y="0"/>
                          <a:ext cx="971550" cy="742950"/>
                        </a:xfrm>
                        <a:prstGeom prst="rect">
                          <a:avLst/>
                        </a:prstGeom>
                        <a:noFill/>
                        <a:ln>
                          <a:noFill/>
                        </a:ln>
                      </wps:spPr>
                      <wps:txbx>
                        <w:txbxContent>
                          <w:p w:rsidR="00007EB7" w:rsidRPr="009550FF" w:rsidRDefault="00007EB7" w:rsidP="00007EB7">
                            <w:pPr>
                              <w:spacing w:after="0"/>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i/>
                                <w:color w:val="002060"/>
                                <w:sz w:val="24"/>
                                <w:szCs w:val="24"/>
                              </w:rPr>
                              <w:t>Evidencije i  potvrde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0DCBC" id="Tekstni okvir 5" o:spid="_x0000_s1028" type="#_x0000_t202" style="position:absolute;left:0;text-align:left;margin-left:3.4pt;margin-top:133.9pt;width:76.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" filled="f" stroked="f">
                <v:textbox>
                  <w:txbxContent>
                    <w:p w:rsidR="00007EB7" w:rsidRPr="009550FF" w:rsidRDefault="00007EB7" w:rsidP="00007EB7">
                      <w:pPr>
                        <w:spacing w:after="0"/>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i/>
                          <w:color w:val="002060"/>
                          <w:sz w:val="24"/>
                          <w:szCs w:val="24"/>
                        </w:rPr>
                        <w:t>Evidencije i  potvrde</w:t>
                      </w:r>
                    </w:p>
                  </w:txbxContent>
                </v:textbox>
              </v:shape>
            </w:pict>
          </mc:Fallback>
        </mc:AlternateContent>
      </w:r>
      <w:r w:rsidR="00007EB7">
        <w:rPr>
          <w:rFonts w:ascii="Arial" w:hAnsi="Arial" w:cs="Arial"/>
          <w:b/>
          <w:noProof/>
          <w:color w:val="002060"/>
          <w:sz w:val="24"/>
          <w:szCs w:val="24"/>
          <w:lang w:eastAsia="hr-HR"/>
        </w:rPr>
        <w:drawing>
          <wp:inline distT="0" distB="0" distL="0" distR="0" wp14:anchorId="64A24564" wp14:editId="404D0716">
            <wp:extent cx="5486400" cy="6953250"/>
            <wp:effectExtent l="0" t="0" r="38100" b="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B6A98" w:rsidRDefault="00BB6A98" w:rsidP="00D842F3">
      <w:pPr>
        <w:spacing w:after="0"/>
        <w:jc w:val="both"/>
        <w:rPr>
          <w:rFonts w:ascii="Arial" w:hAnsi="Arial" w:cs="Arial"/>
          <w:color w:val="002060"/>
          <w:sz w:val="24"/>
          <w:szCs w:val="24"/>
        </w:rPr>
      </w:pPr>
    </w:p>
    <w:p w:rsidR="00BB6A98" w:rsidRDefault="001435D3" w:rsidP="00D842F3">
      <w:pPr>
        <w:spacing w:after="0"/>
        <w:jc w:val="both"/>
        <w:rPr>
          <w:rFonts w:ascii="Arial" w:hAnsi="Arial" w:cs="Arial"/>
          <w:color w:val="002060"/>
          <w:sz w:val="24"/>
          <w:szCs w:val="24"/>
        </w:rPr>
      </w:pPr>
      <w:r>
        <w:rPr>
          <w:noProof/>
          <w:lang w:eastAsia="hr-HR"/>
        </w:rPr>
        <w:lastRenderedPageBreak/>
        <mc:AlternateContent>
          <mc:Choice Requires="wps">
            <w:drawing>
              <wp:anchor distT="0" distB="0" distL="114300" distR="114300" simplePos="0" relativeHeight="251665408" behindDoc="0" locked="0" layoutInCell="1" allowOverlap="1" wp14:anchorId="5963F468" wp14:editId="6AA42A2C">
                <wp:simplePos x="0" y="0"/>
                <wp:positionH relativeFrom="column">
                  <wp:posOffset>-4445</wp:posOffset>
                </wp:positionH>
                <wp:positionV relativeFrom="paragraph">
                  <wp:posOffset>1457553</wp:posOffset>
                </wp:positionV>
                <wp:extent cx="1123950" cy="1371600"/>
                <wp:effectExtent l="0" t="0" r="0" b="0"/>
                <wp:wrapNone/>
                <wp:docPr id="8" name="Tekstni okvir 8"/>
                <wp:cNvGraphicFramePr/>
                <a:graphic xmlns:a="http://schemas.openxmlformats.org/drawingml/2006/main">
                  <a:graphicData uri="http://schemas.microsoft.com/office/word/2010/wordprocessingShape">
                    <wps:wsp>
                      <wps:cNvSpPr txBox="1"/>
                      <wps:spPr>
                        <a:xfrm>
                          <a:off x="0" y="0"/>
                          <a:ext cx="1123950" cy="1371600"/>
                        </a:xfrm>
                        <a:prstGeom prst="rect">
                          <a:avLst/>
                        </a:prstGeom>
                        <a:noFill/>
                        <a:ln>
                          <a:noFill/>
                        </a:ln>
                      </wps:spPr>
                      <wps:txbx>
                        <w:txbxContent>
                          <w:p w:rsidR="001435D3" w:rsidRPr="00B35A61" w:rsidRDefault="001435D3" w:rsidP="001435D3">
                            <w:pPr>
                              <w:spacing w:after="0"/>
                              <w:rPr>
                                <w:rFonts w:ascii="Arial" w:hAnsi="Arial" w:cs="Arial"/>
                                <w:b/>
                                <w:i/>
                                <w:color w:val="002060"/>
                                <w:sz w:val="24"/>
                                <w:szCs w:val="24"/>
                              </w:rPr>
                            </w:pPr>
                            <w:r>
                              <w:rPr>
                                <w:rFonts w:ascii="Arial" w:hAnsi="Arial" w:cs="Arial"/>
                                <w:b/>
                                <w:i/>
                                <w:color w:val="002060"/>
                                <w:sz w:val="24"/>
                                <w:szCs w:val="24"/>
                              </w:rPr>
                              <w:t>Dostavljanje unosom u informacijski susta</w:t>
                            </w:r>
                            <w:r w:rsidR="00473DCF">
                              <w:rPr>
                                <w:rFonts w:ascii="Arial" w:hAnsi="Arial" w:cs="Arial"/>
                                <w:b/>
                                <w:i/>
                                <w:color w:val="002060"/>
                                <w:sz w:val="24"/>
                                <w:szCs w:val="24"/>
                              </w:rPr>
                              <w:t>v</w:t>
                            </w:r>
                            <w:r>
                              <w:rPr>
                                <w:rFonts w:ascii="Arial" w:hAnsi="Arial" w:cs="Arial"/>
                                <w:b/>
                                <w:i/>
                                <w:color w:val="002060"/>
                                <w:sz w:val="24"/>
                                <w:szCs w:val="24"/>
                              </w:rPr>
                              <w:t xml:space="preserve"> za nadzor financiranja</w:t>
                            </w:r>
                          </w:p>
                          <w:p w:rsidR="001435D3" w:rsidRPr="009550FF" w:rsidRDefault="001435D3" w:rsidP="001435D3">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3F468" id="Tekstni okvir 8" o:spid="_x0000_s1029" type="#_x0000_t202" style="position:absolute;left:0;text-align:left;margin-left:-.35pt;margin-top:114.75pt;width:88.5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" filled="f" stroked="f">
                <v:textbox>
                  <w:txbxContent>
                    <w:p w:rsidR="001435D3" w:rsidRPr="00B35A61" w:rsidRDefault="001435D3" w:rsidP="001435D3">
                      <w:pPr>
                        <w:spacing w:after="0"/>
                        <w:rPr>
                          <w:rFonts w:ascii="Arial" w:hAnsi="Arial" w:cs="Arial"/>
                          <w:b/>
                          <w:i/>
                          <w:color w:val="002060"/>
                          <w:sz w:val="24"/>
                          <w:szCs w:val="24"/>
                        </w:rPr>
                      </w:pPr>
                      <w:r>
                        <w:rPr>
                          <w:rFonts w:ascii="Arial" w:hAnsi="Arial" w:cs="Arial"/>
                          <w:b/>
                          <w:i/>
                          <w:color w:val="002060"/>
                          <w:sz w:val="24"/>
                          <w:szCs w:val="24"/>
                        </w:rPr>
                        <w:t>Dostavljanje unosom u informacijski susta</w:t>
                      </w:r>
                      <w:r w:rsidR="00473DCF">
                        <w:rPr>
                          <w:rFonts w:ascii="Arial" w:hAnsi="Arial" w:cs="Arial"/>
                          <w:b/>
                          <w:i/>
                          <w:color w:val="002060"/>
                          <w:sz w:val="24"/>
                          <w:szCs w:val="24"/>
                        </w:rPr>
                        <w:t>v</w:t>
                      </w:r>
                      <w:r>
                        <w:rPr>
                          <w:rFonts w:ascii="Arial" w:hAnsi="Arial" w:cs="Arial"/>
                          <w:b/>
                          <w:i/>
                          <w:color w:val="002060"/>
                          <w:sz w:val="24"/>
                          <w:szCs w:val="24"/>
                        </w:rPr>
                        <w:t xml:space="preserve"> za nadzor financiranja</w:t>
                      </w:r>
                    </w:p>
                    <w:p w:rsidR="001435D3" w:rsidRPr="009550FF" w:rsidRDefault="001435D3" w:rsidP="001435D3">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007EB7">
        <w:rPr>
          <w:rFonts w:ascii="Arial" w:hAnsi="Arial" w:cs="Arial"/>
          <w:b/>
          <w:noProof/>
          <w:color w:val="002060"/>
          <w:sz w:val="24"/>
          <w:szCs w:val="24"/>
          <w:lang w:eastAsia="hr-HR"/>
        </w:rPr>
        <w:drawing>
          <wp:inline distT="0" distB="0" distL="0" distR="0" wp14:anchorId="4063C59A" wp14:editId="4EA08620">
            <wp:extent cx="5486400" cy="4865298"/>
            <wp:effectExtent l="0" t="0" r="38100" b="0"/>
            <wp:docPr id="3"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4C4160" w:rsidRDefault="004C4160" w:rsidP="007E27BF">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3DCF" w:rsidRDefault="007E27BF" w:rsidP="00473DCF">
      <w:pPr>
        <w:spacing w:after="0"/>
        <w:ind w:left="70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 vođenje, održavanje i upravljanje informacijskim </w:t>
      </w:r>
      <w:r w:rsidR="00FC044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sustavom za nadzor financiranja</w:t>
      </w: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73DCF" w:rsidRDefault="007E27BF" w:rsidP="00473DCF">
      <w:pPr>
        <w:spacing w:after="0"/>
        <w:ind w:left="70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nadležno je Državno izborno povjerenstvo (članak 86. Zakona</w:t>
      </w: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financiranju političkih </w:t>
      </w:r>
    </w:p>
    <w:p w:rsidR="00473DCF" w:rsidRDefault="007E27BF" w:rsidP="00473DCF">
      <w:pPr>
        <w:spacing w:after="0"/>
        <w:ind w:left="70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aktivnosti, izborne promidžbe i referenduma</w:t>
      </w: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koje daje uputu o načinu unosa izvješća/</w:t>
      </w:r>
    </w:p>
    <w:p w:rsidR="007E27BF" w:rsidRDefault="007E27BF" w:rsidP="00473DCF">
      <w:pPr>
        <w:spacing w:after="0"/>
        <w:ind w:left="70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obavijesti o don</w:t>
      </w:r>
      <w:r w:rsidR="00FC044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1E46ED">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cijama i objavljuje je na svojim</w:t>
      </w:r>
      <w:bookmarkStart w:id="0" w:name="_GoBack"/>
      <w:bookmarkEnd w:id="0"/>
      <w:r w:rsidR="00FC044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mrežnim stranicama</w:t>
      </w: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C4160" w:rsidRDefault="004C4160" w:rsidP="007E27BF">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B6A98" w:rsidRDefault="004C4160" w:rsidP="00D842F3">
      <w:pPr>
        <w:spacing w:after="0"/>
        <w:jc w:val="both"/>
        <w:rPr>
          <w:rFonts w:ascii="Arial" w:hAnsi="Arial" w:cs="Arial"/>
          <w:color w:val="002060"/>
          <w:sz w:val="24"/>
          <w:szCs w:val="24"/>
        </w:rPr>
      </w:pPr>
      <w:r>
        <w:rPr>
          <w:noProof/>
          <w:lang w:eastAsia="hr-HR"/>
        </w:rPr>
        <w:lastRenderedPageBreak/>
        <mc:AlternateContent>
          <mc:Choice Requires="wps">
            <w:drawing>
              <wp:anchor distT="0" distB="0" distL="114300" distR="114300" simplePos="0" relativeHeight="251667456" behindDoc="0" locked="0" layoutInCell="1" allowOverlap="1" wp14:anchorId="11A7B2B9" wp14:editId="698014A8">
                <wp:simplePos x="0" y="0"/>
                <wp:positionH relativeFrom="column">
                  <wp:posOffset>-47577</wp:posOffset>
                </wp:positionH>
                <wp:positionV relativeFrom="paragraph">
                  <wp:posOffset>2429822</wp:posOffset>
                </wp:positionV>
                <wp:extent cx="1171575" cy="800100"/>
                <wp:effectExtent l="0" t="0" r="0" b="0"/>
                <wp:wrapNone/>
                <wp:docPr id="9" name="Tekstni okvir 9"/>
                <wp:cNvGraphicFramePr/>
                <a:graphic xmlns:a="http://schemas.openxmlformats.org/drawingml/2006/main">
                  <a:graphicData uri="http://schemas.microsoft.com/office/word/2010/wordprocessingShape">
                    <wps:wsp>
                      <wps:cNvSpPr txBox="1"/>
                      <wps:spPr>
                        <a:xfrm>
                          <a:off x="0" y="0"/>
                          <a:ext cx="1171575" cy="800100"/>
                        </a:xfrm>
                        <a:prstGeom prst="rect">
                          <a:avLst/>
                        </a:prstGeom>
                        <a:noFill/>
                        <a:ln>
                          <a:noFill/>
                        </a:ln>
                      </wps:spPr>
                      <wps:txbx>
                        <w:txbxContent>
                          <w:p w:rsidR="004C4160" w:rsidRPr="00B35A61" w:rsidRDefault="004C4160" w:rsidP="004C4160">
                            <w:pPr>
                              <w:spacing w:after="0"/>
                              <w:rPr>
                                <w:rFonts w:ascii="Arial" w:hAnsi="Arial" w:cs="Arial"/>
                                <w:b/>
                                <w:i/>
                                <w:color w:val="002060"/>
                                <w:sz w:val="24"/>
                                <w:szCs w:val="24"/>
                              </w:rPr>
                            </w:pPr>
                            <w:r>
                              <w:rPr>
                                <w:rFonts w:ascii="Arial" w:hAnsi="Arial" w:cs="Arial"/>
                                <w:b/>
                                <w:i/>
                                <w:color w:val="002060"/>
                                <w:sz w:val="24"/>
                                <w:szCs w:val="24"/>
                              </w:rPr>
                              <w:t>Polugodišnje izvješće o donacijama</w:t>
                            </w:r>
                          </w:p>
                          <w:p w:rsidR="004C4160" w:rsidRPr="009550FF" w:rsidRDefault="004C4160" w:rsidP="004C4160">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B2B9" id="Tekstni okvir 9" o:spid="_x0000_s1030" type="#_x0000_t202" style="position:absolute;left:0;text-align:left;margin-left:-3.75pt;margin-top:191.3pt;width:92.2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" filled="f" stroked="f">
                <v:textbox>
                  <w:txbxContent>
                    <w:p w:rsidR="004C4160" w:rsidRPr="00B35A61" w:rsidRDefault="004C4160" w:rsidP="004C4160">
                      <w:pPr>
                        <w:spacing w:after="0"/>
                        <w:rPr>
                          <w:rFonts w:ascii="Arial" w:hAnsi="Arial" w:cs="Arial"/>
                          <w:b/>
                          <w:i/>
                          <w:color w:val="002060"/>
                          <w:sz w:val="24"/>
                          <w:szCs w:val="24"/>
                        </w:rPr>
                      </w:pPr>
                      <w:r>
                        <w:rPr>
                          <w:rFonts w:ascii="Arial" w:hAnsi="Arial" w:cs="Arial"/>
                          <w:b/>
                          <w:i/>
                          <w:color w:val="002060"/>
                          <w:sz w:val="24"/>
                          <w:szCs w:val="24"/>
                        </w:rPr>
                        <w:t>Polugodišnje izvješće o donacijama</w:t>
                      </w:r>
                    </w:p>
                    <w:p w:rsidR="004C4160" w:rsidRPr="009550FF" w:rsidRDefault="004C4160" w:rsidP="004C4160">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007EB7">
        <w:rPr>
          <w:rFonts w:ascii="Arial" w:hAnsi="Arial" w:cs="Arial"/>
          <w:b/>
          <w:noProof/>
          <w:color w:val="002060"/>
          <w:sz w:val="24"/>
          <w:szCs w:val="24"/>
          <w:lang w:eastAsia="hr-HR"/>
        </w:rPr>
        <w:drawing>
          <wp:inline distT="0" distB="0" distL="0" distR="0" wp14:anchorId="32BBC82E" wp14:editId="68FB4E6C">
            <wp:extent cx="5486400" cy="6133381"/>
            <wp:effectExtent l="0" t="0" r="38100" b="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BB6A98" w:rsidRDefault="00BB6A98" w:rsidP="00D842F3">
      <w:pPr>
        <w:spacing w:after="0"/>
        <w:jc w:val="both"/>
        <w:rPr>
          <w:rFonts w:ascii="Arial" w:hAnsi="Arial" w:cs="Arial"/>
          <w:color w:val="002060"/>
          <w:sz w:val="24"/>
          <w:szCs w:val="24"/>
        </w:rPr>
      </w:pPr>
    </w:p>
    <w:p w:rsidR="00BB6A98" w:rsidRDefault="00BB6A98" w:rsidP="00D842F3">
      <w:pPr>
        <w:spacing w:after="0"/>
        <w:jc w:val="both"/>
        <w:rPr>
          <w:rFonts w:ascii="Arial" w:hAnsi="Arial" w:cs="Arial"/>
          <w:color w:val="002060"/>
          <w:sz w:val="24"/>
          <w:szCs w:val="24"/>
        </w:rPr>
      </w:pPr>
    </w:p>
    <w:p w:rsidR="000C20F0" w:rsidRPr="00BD5656" w:rsidRDefault="000C20F0" w:rsidP="00E340DA">
      <w:pPr>
        <w:spacing w:after="0"/>
        <w:jc w:val="both"/>
        <w:rPr>
          <w:rFonts w:ascii="Arial" w:hAnsi="Arial" w:cs="Arial"/>
          <w:color w:val="002060"/>
          <w:sz w:val="24"/>
          <w:szCs w:val="24"/>
        </w:rPr>
      </w:pPr>
    </w:p>
    <w:p w:rsidR="0061284F" w:rsidRPr="00770D62" w:rsidRDefault="00C24DF0" w:rsidP="0061284F">
      <w:pPr>
        <w:spacing w:after="0"/>
        <w:jc w:val="both"/>
        <w:rPr>
          <w:rFonts w:ascii="Arial" w:hAnsi="Arial" w:cs="Arial"/>
          <w:b/>
          <w:color w:val="FF0000"/>
          <w:sz w:val="24"/>
          <w:szCs w:val="24"/>
        </w:rPr>
      </w:pPr>
      <w:r w:rsidRPr="00BD5656">
        <w:rPr>
          <w:rFonts w:ascii="Arial" w:hAnsi="Arial" w:cs="Arial"/>
          <w:color w:val="002060"/>
          <w:sz w:val="24"/>
          <w:szCs w:val="24"/>
        </w:rPr>
        <w:tab/>
      </w:r>
    </w:p>
    <w:p w:rsidR="007D0BC1" w:rsidRPr="00BD5656" w:rsidRDefault="007D0BC1" w:rsidP="00E8158E">
      <w:pPr>
        <w:spacing w:after="0"/>
        <w:ind w:firstLine="708"/>
        <w:jc w:val="both"/>
        <w:rPr>
          <w:rFonts w:ascii="Arial" w:hAnsi="Arial" w:cs="Arial"/>
          <w:color w:val="002060"/>
          <w:sz w:val="24"/>
          <w:szCs w:val="24"/>
        </w:rPr>
      </w:pPr>
    </w:p>
    <w:p w:rsidR="00E8158E" w:rsidRDefault="00E8158E" w:rsidP="00E8158E">
      <w:pPr>
        <w:spacing w:after="0"/>
        <w:ind w:firstLine="708"/>
        <w:jc w:val="both"/>
        <w:rPr>
          <w:rFonts w:ascii="Arial" w:hAnsi="Arial" w:cs="Arial"/>
          <w:color w:val="0000CC"/>
          <w:sz w:val="24"/>
          <w:szCs w:val="24"/>
        </w:rPr>
      </w:pPr>
    </w:p>
    <w:p w:rsidR="00E8158E" w:rsidRDefault="00E8158E" w:rsidP="00E8158E">
      <w:pPr>
        <w:spacing w:after="0"/>
        <w:ind w:firstLine="708"/>
        <w:jc w:val="both"/>
        <w:rPr>
          <w:rFonts w:ascii="Arial" w:hAnsi="Arial" w:cs="Arial"/>
          <w:color w:val="0000CC"/>
          <w:sz w:val="24"/>
          <w:szCs w:val="24"/>
        </w:rPr>
      </w:pPr>
    </w:p>
    <w:p w:rsidR="00A327EE" w:rsidRDefault="00A327EE" w:rsidP="00E340DA">
      <w:pPr>
        <w:spacing w:after="0"/>
        <w:jc w:val="both"/>
        <w:rPr>
          <w:rFonts w:ascii="Arial" w:hAnsi="Arial" w:cs="Arial"/>
          <w:color w:val="0000CC"/>
          <w:sz w:val="24"/>
          <w:szCs w:val="24"/>
        </w:rPr>
      </w:pPr>
    </w:p>
    <w:p w:rsidR="0064311D" w:rsidRDefault="0064311D" w:rsidP="0064311D">
      <w:pPr>
        <w:autoSpaceDE w:val="0"/>
        <w:autoSpaceDN w:val="0"/>
        <w:adjustRightInd w:val="0"/>
        <w:ind w:firstLine="720"/>
      </w:pPr>
    </w:p>
    <w:p w:rsidR="00DC0F35" w:rsidRDefault="00DC0F35">
      <w:pPr>
        <w:spacing w:after="0"/>
        <w:jc w:val="both"/>
        <w:rPr>
          <w:rFonts w:ascii="Arial" w:hAnsi="Arial" w:cs="Arial"/>
          <w:color w:val="0000CC"/>
          <w:sz w:val="24"/>
          <w:szCs w:val="24"/>
        </w:rPr>
      </w:pPr>
    </w:p>
    <w:p w:rsidR="008907CB" w:rsidRDefault="008907CB">
      <w:pPr>
        <w:spacing w:after="0"/>
        <w:jc w:val="both"/>
        <w:rPr>
          <w:rFonts w:ascii="Arial" w:hAnsi="Arial" w:cs="Arial"/>
          <w:color w:val="0000CC"/>
          <w:sz w:val="24"/>
          <w:szCs w:val="24"/>
        </w:rPr>
        <w:sectPr w:rsidR="008907CB" w:rsidSect="00663851">
          <w:headerReference w:type="default" r:id="rId29"/>
          <w:type w:val="continuous"/>
          <w:pgSz w:w="11906" w:h="16838"/>
          <w:pgMar w:top="1417" w:right="1417" w:bottom="1417" w:left="1417" w:header="708" w:footer="708" w:gutter="0"/>
          <w:pgNumType w:start="1"/>
          <w:cols w:space="708"/>
          <w:docGrid w:linePitch="360"/>
        </w:sectPr>
      </w:pPr>
    </w:p>
    <w:p w:rsidR="008907CB" w:rsidRDefault="00444B0F">
      <w:pPr>
        <w:spacing w:after="0"/>
        <w:jc w:val="both"/>
        <w:rPr>
          <w:rFonts w:ascii="Arial" w:hAnsi="Arial" w:cs="Arial"/>
          <w:color w:val="0000CC"/>
          <w:sz w:val="24"/>
          <w:szCs w:val="24"/>
        </w:rPr>
      </w:pPr>
      <w:r>
        <w:rPr>
          <w:noProof/>
          <w:lang w:eastAsia="hr-HR"/>
        </w:rPr>
        <w:lastRenderedPageBreak/>
        <w:drawing>
          <wp:inline distT="0" distB="0" distL="0" distR="0" wp14:anchorId="65B71C09" wp14:editId="08A62F14">
            <wp:extent cx="9010650" cy="592406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039728" cy="5943186"/>
                    </a:xfrm>
                    <a:prstGeom prst="rect">
                      <a:avLst/>
                    </a:prstGeom>
                  </pic:spPr>
                </pic:pic>
              </a:graphicData>
            </a:graphic>
          </wp:inline>
        </w:drawing>
      </w:r>
    </w:p>
    <w:sectPr w:rsidR="008907CB" w:rsidSect="008907CB">
      <w:headerReference w:type="default" r:id="rId31"/>
      <w:type w:val="continuous"/>
      <w:pgSz w:w="16838" w:h="11906" w:orient="landscape"/>
      <w:pgMar w:top="1411" w:right="1411" w:bottom="1411" w:left="1411"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3E7" w:rsidRDefault="00EC63E7" w:rsidP="00663851">
      <w:pPr>
        <w:spacing w:after="0" w:line="240" w:lineRule="auto"/>
      </w:pPr>
      <w:r>
        <w:separator/>
      </w:r>
    </w:p>
  </w:endnote>
  <w:endnote w:type="continuationSeparator" w:id="0">
    <w:p w:rsidR="00EC63E7" w:rsidRDefault="00EC63E7" w:rsidP="0066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3E7" w:rsidRDefault="00EC63E7" w:rsidP="00663851">
      <w:pPr>
        <w:spacing w:after="0" w:line="240" w:lineRule="auto"/>
      </w:pPr>
      <w:r>
        <w:separator/>
      </w:r>
    </w:p>
  </w:footnote>
  <w:footnote w:type="continuationSeparator" w:id="0">
    <w:p w:rsidR="00EC63E7" w:rsidRDefault="00EC63E7" w:rsidP="0066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160" w:rsidRDefault="004C4160">
    <w:pPr>
      <w:pStyle w:val="Zaglavlje"/>
      <w:jc w:val="center"/>
    </w:pPr>
  </w:p>
  <w:p w:rsidR="00DD2F0C" w:rsidRDefault="00DD2F0C">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344414"/>
      <w:docPartObj>
        <w:docPartGallery w:val="Page Numbers (Top of Page)"/>
        <w:docPartUnique/>
      </w:docPartObj>
    </w:sdtPr>
    <w:sdtEndPr>
      <w:rPr>
        <w:rFonts w:ascii="Arial" w:hAnsi="Arial" w:cs="Arial"/>
        <w:color w:val="002060"/>
        <w:sz w:val="24"/>
        <w:szCs w:val="24"/>
      </w:rPr>
    </w:sdtEndPr>
    <w:sdtContent>
      <w:p w:rsidR="001E2C3C" w:rsidRPr="001E2C3C" w:rsidRDefault="001E2C3C">
        <w:pPr>
          <w:pStyle w:val="Zaglavlje"/>
          <w:jc w:val="center"/>
          <w:rPr>
            <w:rFonts w:ascii="Arial" w:hAnsi="Arial" w:cs="Arial"/>
            <w:color w:val="002060"/>
            <w:sz w:val="24"/>
            <w:szCs w:val="24"/>
          </w:rPr>
        </w:pPr>
        <w:r w:rsidRPr="001E2C3C">
          <w:rPr>
            <w:rFonts w:ascii="Arial" w:hAnsi="Arial" w:cs="Arial"/>
            <w:color w:val="002060"/>
            <w:sz w:val="24"/>
            <w:szCs w:val="24"/>
          </w:rPr>
          <w:fldChar w:fldCharType="begin"/>
        </w:r>
        <w:r w:rsidRPr="001E2C3C">
          <w:rPr>
            <w:rFonts w:ascii="Arial" w:hAnsi="Arial" w:cs="Arial"/>
            <w:color w:val="002060"/>
            <w:sz w:val="24"/>
            <w:szCs w:val="24"/>
          </w:rPr>
          <w:instrText>PAGE   \* MERGEFORMAT</w:instrText>
        </w:r>
        <w:r w:rsidRPr="001E2C3C">
          <w:rPr>
            <w:rFonts w:ascii="Arial" w:hAnsi="Arial" w:cs="Arial"/>
            <w:color w:val="002060"/>
            <w:sz w:val="24"/>
            <w:szCs w:val="24"/>
          </w:rPr>
          <w:fldChar w:fldCharType="separate"/>
        </w:r>
        <w:r w:rsidR="001E46ED">
          <w:rPr>
            <w:rFonts w:ascii="Arial" w:hAnsi="Arial" w:cs="Arial"/>
            <w:noProof/>
            <w:color w:val="002060"/>
            <w:sz w:val="24"/>
            <w:szCs w:val="24"/>
          </w:rPr>
          <w:t>3</w:t>
        </w:r>
        <w:r w:rsidRPr="001E2C3C">
          <w:rPr>
            <w:rFonts w:ascii="Arial" w:hAnsi="Arial" w:cs="Arial"/>
            <w:color w:val="002060"/>
            <w:sz w:val="24"/>
            <w:szCs w:val="24"/>
          </w:rPr>
          <w:fldChar w:fldCharType="end"/>
        </w:r>
      </w:p>
    </w:sdtContent>
  </w:sdt>
  <w:p w:rsidR="004C4160" w:rsidRDefault="004C4160">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798290"/>
      <w:docPartObj>
        <w:docPartGallery w:val="Page Numbers (Top of Page)"/>
        <w:docPartUnique/>
      </w:docPartObj>
    </w:sdtPr>
    <w:sdtEndPr>
      <w:rPr>
        <w:noProof/>
      </w:rPr>
    </w:sdtEndPr>
    <w:sdtContent>
      <w:p w:rsidR="00DD2F0C" w:rsidRDefault="00DD2F0C">
        <w:pPr>
          <w:pStyle w:val="Zaglavlje"/>
          <w:jc w:val="center"/>
        </w:pPr>
        <w:r>
          <w:rPr>
            <w:rFonts w:ascii="Arial" w:hAnsi="Arial" w:cs="Arial"/>
            <w:color w:val="002060"/>
          </w:rPr>
          <w:t>3</w:t>
        </w:r>
      </w:p>
    </w:sdtContent>
  </w:sdt>
  <w:p w:rsidR="00DD2F0C" w:rsidRDefault="00DD2F0C">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10F"/>
    <w:multiLevelType w:val="hybridMultilevel"/>
    <w:tmpl w:val="EF6CB902"/>
    <w:lvl w:ilvl="0" w:tplc="629A48D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BA5FD9"/>
    <w:multiLevelType w:val="hybridMultilevel"/>
    <w:tmpl w:val="B7FA68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DC0C1D"/>
    <w:multiLevelType w:val="hybridMultilevel"/>
    <w:tmpl w:val="DABA988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CD4B5E"/>
    <w:multiLevelType w:val="hybridMultilevel"/>
    <w:tmpl w:val="F2D0A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5D530E4"/>
    <w:multiLevelType w:val="hybridMultilevel"/>
    <w:tmpl w:val="97CC18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DA"/>
    <w:rsid w:val="00007EB7"/>
    <w:rsid w:val="00024A7F"/>
    <w:rsid w:val="00043382"/>
    <w:rsid w:val="0005455B"/>
    <w:rsid w:val="000575A4"/>
    <w:rsid w:val="00061176"/>
    <w:rsid w:val="0009242C"/>
    <w:rsid w:val="000C20F0"/>
    <w:rsid w:val="000E408B"/>
    <w:rsid w:val="001435D3"/>
    <w:rsid w:val="001A3DB1"/>
    <w:rsid w:val="001B2A02"/>
    <w:rsid w:val="001B2E93"/>
    <w:rsid w:val="001E2C3C"/>
    <w:rsid w:val="001E46ED"/>
    <w:rsid w:val="001F5197"/>
    <w:rsid w:val="002A7742"/>
    <w:rsid w:val="002C5CF6"/>
    <w:rsid w:val="002D00D5"/>
    <w:rsid w:val="00361311"/>
    <w:rsid w:val="00374635"/>
    <w:rsid w:val="003A5044"/>
    <w:rsid w:val="003F5C62"/>
    <w:rsid w:val="00444B0F"/>
    <w:rsid w:val="00455213"/>
    <w:rsid w:val="00473DCF"/>
    <w:rsid w:val="00475FDF"/>
    <w:rsid w:val="00481C6C"/>
    <w:rsid w:val="004A2A41"/>
    <w:rsid w:val="004B2F01"/>
    <w:rsid w:val="004C4160"/>
    <w:rsid w:val="004E4CE6"/>
    <w:rsid w:val="00504F82"/>
    <w:rsid w:val="005727A3"/>
    <w:rsid w:val="00590F03"/>
    <w:rsid w:val="005D1B66"/>
    <w:rsid w:val="0061284F"/>
    <w:rsid w:val="0064311D"/>
    <w:rsid w:val="00663851"/>
    <w:rsid w:val="00680EFA"/>
    <w:rsid w:val="00694ED4"/>
    <w:rsid w:val="006A0ECF"/>
    <w:rsid w:val="00740EC6"/>
    <w:rsid w:val="0074127C"/>
    <w:rsid w:val="00770D62"/>
    <w:rsid w:val="0079190D"/>
    <w:rsid w:val="007D0BC1"/>
    <w:rsid w:val="007D6B0F"/>
    <w:rsid w:val="007E27BF"/>
    <w:rsid w:val="00827387"/>
    <w:rsid w:val="00851BCA"/>
    <w:rsid w:val="00855947"/>
    <w:rsid w:val="008907CB"/>
    <w:rsid w:val="008A3AF7"/>
    <w:rsid w:val="00921693"/>
    <w:rsid w:val="009847F8"/>
    <w:rsid w:val="00A160DB"/>
    <w:rsid w:val="00A3081B"/>
    <w:rsid w:val="00A327EE"/>
    <w:rsid w:val="00A50040"/>
    <w:rsid w:val="00A54DB4"/>
    <w:rsid w:val="00A621A5"/>
    <w:rsid w:val="00A7644A"/>
    <w:rsid w:val="00B36314"/>
    <w:rsid w:val="00BB6A98"/>
    <w:rsid w:val="00BD5656"/>
    <w:rsid w:val="00C13D04"/>
    <w:rsid w:val="00C23E92"/>
    <w:rsid w:val="00C24DF0"/>
    <w:rsid w:val="00C424B6"/>
    <w:rsid w:val="00C54525"/>
    <w:rsid w:val="00CE66EA"/>
    <w:rsid w:val="00D24158"/>
    <w:rsid w:val="00D462D2"/>
    <w:rsid w:val="00D76806"/>
    <w:rsid w:val="00D842F3"/>
    <w:rsid w:val="00D90DDA"/>
    <w:rsid w:val="00DC0F35"/>
    <w:rsid w:val="00DD2F0C"/>
    <w:rsid w:val="00E04E36"/>
    <w:rsid w:val="00E235C5"/>
    <w:rsid w:val="00E329CC"/>
    <w:rsid w:val="00E340DA"/>
    <w:rsid w:val="00E35724"/>
    <w:rsid w:val="00E64764"/>
    <w:rsid w:val="00E6712A"/>
    <w:rsid w:val="00E8158E"/>
    <w:rsid w:val="00EA5AC6"/>
    <w:rsid w:val="00EB7300"/>
    <w:rsid w:val="00EC63E7"/>
    <w:rsid w:val="00EE359D"/>
    <w:rsid w:val="00EE6626"/>
    <w:rsid w:val="00EF4A0C"/>
    <w:rsid w:val="00F2547F"/>
    <w:rsid w:val="00F34083"/>
    <w:rsid w:val="00F50C9C"/>
    <w:rsid w:val="00F768BD"/>
    <w:rsid w:val="00F91E9A"/>
    <w:rsid w:val="00FC04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063B0"/>
  <w15:docId w15:val="{95384352-3698-49F8-9A77-7DBD3B68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40DA"/>
    <w:pPr>
      <w:ind w:left="720"/>
      <w:contextualSpacing/>
    </w:pPr>
  </w:style>
  <w:style w:type="paragraph" w:customStyle="1" w:styleId="BasicParagraph">
    <w:name w:val="[Basic Paragraph]"/>
    <w:basedOn w:val="Normal"/>
    <w:uiPriority w:val="99"/>
    <w:rsid w:val="00D462D2"/>
    <w:pPr>
      <w:widowControl w:val="0"/>
      <w:autoSpaceDE w:val="0"/>
      <w:autoSpaceDN w:val="0"/>
      <w:adjustRightInd w:val="0"/>
      <w:spacing w:before="6" w:after="6" w:line="250" w:lineRule="atLeast"/>
      <w:ind w:firstLine="397"/>
      <w:jc w:val="both"/>
      <w:textAlignment w:val="center"/>
    </w:pPr>
    <w:rPr>
      <w:rFonts w:ascii="Minion Pro" w:eastAsia="Times New Roman" w:hAnsi="Minion Pro" w:cs="Minion Pro"/>
      <w:color w:val="000000"/>
      <w:lang w:eastAsia="hr-HR"/>
    </w:rPr>
  </w:style>
  <w:style w:type="paragraph" w:customStyle="1" w:styleId="CharCharCharCharCharCharCharCharChar">
    <w:name w:val="Char Char Char Char Char Char Char Char Char"/>
    <w:basedOn w:val="Normal"/>
    <w:uiPriority w:val="99"/>
    <w:rsid w:val="00D462D2"/>
    <w:pPr>
      <w:spacing w:after="160" w:line="240" w:lineRule="exact"/>
    </w:pPr>
    <w:rPr>
      <w:rFonts w:ascii="Tahoma" w:eastAsia="Times New Roman" w:hAnsi="Tahoma" w:cs="Tahoma"/>
      <w:sz w:val="20"/>
      <w:szCs w:val="20"/>
      <w:lang w:val="en-US"/>
    </w:rPr>
  </w:style>
  <w:style w:type="paragraph" w:styleId="Zaglavlje">
    <w:name w:val="header"/>
    <w:basedOn w:val="Normal"/>
    <w:link w:val="ZaglavljeChar"/>
    <w:uiPriority w:val="99"/>
    <w:unhideWhenUsed/>
    <w:rsid w:val="006638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63851"/>
  </w:style>
  <w:style w:type="paragraph" w:styleId="Podnoje">
    <w:name w:val="footer"/>
    <w:basedOn w:val="Normal"/>
    <w:link w:val="PodnojeChar"/>
    <w:uiPriority w:val="99"/>
    <w:unhideWhenUsed/>
    <w:rsid w:val="006638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63851"/>
  </w:style>
  <w:style w:type="character" w:styleId="Referencakomentara">
    <w:name w:val="annotation reference"/>
    <w:basedOn w:val="Zadanifontodlomka"/>
    <w:uiPriority w:val="99"/>
    <w:semiHidden/>
    <w:unhideWhenUsed/>
    <w:rsid w:val="00590F03"/>
    <w:rPr>
      <w:sz w:val="16"/>
      <w:szCs w:val="16"/>
    </w:rPr>
  </w:style>
  <w:style w:type="paragraph" w:styleId="Tekstkomentara">
    <w:name w:val="annotation text"/>
    <w:basedOn w:val="Normal"/>
    <w:link w:val="TekstkomentaraChar"/>
    <w:uiPriority w:val="99"/>
    <w:semiHidden/>
    <w:unhideWhenUsed/>
    <w:rsid w:val="00590F03"/>
    <w:pPr>
      <w:spacing w:line="240" w:lineRule="auto"/>
    </w:pPr>
    <w:rPr>
      <w:sz w:val="20"/>
      <w:szCs w:val="20"/>
    </w:rPr>
  </w:style>
  <w:style w:type="character" w:customStyle="1" w:styleId="TekstkomentaraChar">
    <w:name w:val="Tekst komentara Char"/>
    <w:basedOn w:val="Zadanifontodlomka"/>
    <w:link w:val="Tekstkomentara"/>
    <w:uiPriority w:val="99"/>
    <w:semiHidden/>
    <w:rsid w:val="00590F03"/>
    <w:rPr>
      <w:sz w:val="20"/>
      <w:szCs w:val="20"/>
    </w:rPr>
  </w:style>
  <w:style w:type="paragraph" w:styleId="Predmetkomentara">
    <w:name w:val="annotation subject"/>
    <w:basedOn w:val="Tekstkomentara"/>
    <w:next w:val="Tekstkomentara"/>
    <w:link w:val="PredmetkomentaraChar"/>
    <w:uiPriority w:val="99"/>
    <w:semiHidden/>
    <w:unhideWhenUsed/>
    <w:rsid w:val="00590F03"/>
    <w:rPr>
      <w:b/>
      <w:bCs/>
    </w:rPr>
  </w:style>
  <w:style w:type="character" w:customStyle="1" w:styleId="PredmetkomentaraChar">
    <w:name w:val="Predmet komentara Char"/>
    <w:basedOn w:val="TekstkomentaraChar"/>
    <w:link w:val="Predmetkomentara"/>
    <w:uiPriority w:val="99"/>
    <w:semiHidden/>
    <w:rsid w:val="00590F03"/>
    <w:rPr>
      <w:b/>
      <w:bCs/>
      <w:sz w:val="20"/>
      <w:szCs w:val="20"/>
    </w:rPr>
  </w:style>
  <w:style w:type="paragraph" w:styleId="Tekstbalonia">
    <w:name w:val="Balloon Text"/>
    <w:basedOn w:val="Normal"/>
    <w:link w:val="TekstbaloniaChar"/>
    <w:uiPriority w:val="99"/>
    <w:semiHidden/>
    <w:unhideWhenUsed/>
    <w:rsid w:val="00590F0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90F03"/>
    <w:rPr>
      <w:rFonts w:ascii="Tahoma" w:hAnsi="Tahoma" w:cs="Tahoma"/>
      <w:sz w:val="16"/>
      <w:szCs w:val="16"/>
    </w:rPr>
  </w:style>
  <w:style w:type="paragraph" w:styleId="Tekstfusnote">
    <w:name w:val="footnote text"/>
    <w:basedOn w:val="Normal"/>
    <w:link w:val="TekstfusnoteChar"/>
    <w:uiPriority w:val="99"/>
    <w:unhideWhenUsed/>
    <w:rsid w:val="000C20F0"/>
    <w:pPr>
      <w:spacing w:after="0" w:line="240" w:lineRule="auto"/>
    </w:pPr>
    <w:rPr>
      <w:sz w:val="20"/>
      <w:szCs w:val="20"/>
    </w:rPr>
  </w:style>
  <w:style w:type="character" w:customStyle="1" w:styleId="TekstfusnoteChar">
    <w:name w:val="Tekst fusnote Char"/>
    <w:basedOn w:val="Zadanifontodlomka"/>
    <w:link w:val="Tekstfusnote"/>
    <w:uiPriority w:val="99"/>
    <w:rsid w:val="000C20F0"/>
    <w:rPr>
      <w:sz w:val="20"/>
      <w:szCs w:val="20"/>
    </w:rPr>
  </w:style>
  <w:style w:type="character" w:styleId="Referencafusnote">
    <w:name w:val="footnote reference"/>
    <w:basedOn w:val="Zadanifontodlomka"/>
    <w:uiPriority w:val="99"/>
    <w:semiHidden/>
    <w:unhideWhenUsed/>
    <w:rsid w:val="000C2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326414">
      <w:bodyDiv w:val="1"/>
      <w:marLeft w:val="0"/>
      <w:marRight w:val="0"/>
      <w:marTop w:val="0"/>
      <w:marBottom w:val="0"/>
      <w:divBdr>
        <w:top w:val="none" w:sz="0" w:space="0" w:color="auto"/>
        <w:left w:val="none" w:sz="0" w:space="0" w:color="auto"/>
        <w:bottom w:val="none" w:sz="0" w:space="0" w:color="auto"/>
        <w:right w:val="none" w:sz="0" w:space="0" w:color="auto"/>
      </w:divBdr>
    </w:div>
    <w:div w:id="1495025172">
      <w:bodyDiv w:val="1"/>
      <w:marLeft w:val="0"/>
      <w:marRight w:val="0"/>
      <w:marTop w:val="0"/>
      <w:marBottom w:val="0"/>
      <w:divBdr>
        <w:top w:val="none" w:sz="0" w:space="0" w:color="auto"/>
        <w:left w:val="none" w:sz="0" w:space="0" w:color="auto"/>
        <w:bottom w:val="none" w:sz="0" w:space="0" w:color="auto"/>
        <w:right w:val="none" w:sz="0" w:space="0" w:color="auto"/>
      </w:divBdr>
      <w:divsChild>
        <w:div w:id="1128429830">
          <w:marLeft w:val="547"/>
          <w:marRight w:val="0"/>
          <w:marTop w:val="0"/>
          <w:marBottom w:val="0"/>
          <w:divBdr>
            <w:top w:val="none" w:sz="0" w:space="0" w:color="auto"/>
            <w:left w:val="none" w:sz="0" w:space="0" w:color="auto"/>
            <w:bottom w:val="none" w:sz="0" w:space="0" w:color="auto"/>
            <w:right w:val="none" w:sz="0" w:space="0" w:color="auto"/>
          </w:divBdr>
        </w:div>
        <w:div w:id="350186815">
          <w:marLeft w:val="547"/>
          <w:marRight w:val="0"/>
          <w:marTop w:val="0"/>
          <w:marBottom w:val="0"/>
          <w:divBdr>
            <w:top w:val="none" w:sz="0" w:space="0" w:color="auto"/>
            <w:left w:val="none" w:sz="0" w:space="0" w:color="auto"/>
            <w:bottom w:val="none" w:sz="0" w:space="0" w:color="auto"/>
            <w:right w:val="none" w:sz="0" w:space="0" w:color="auto"/>
          </w:divBdr>
        </w:div>
        <w:div w:id="8275507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image" Target="media/image1.png"/><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23571B-9F12-4F9D-BC86-F2599EDA587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hr-HR"/>
        </a:p>
      </dgm:t>
    </dgm:pt>
    <dgm:pt modelId="{E330A45B-3C3D-4CF1-958F-6AE4522957FC}">
      <dgm:prSet phldrT="[Tekst]" custT="1"/>
      <dgm:spPr/>
      <dgm:t>
        <a:bodyPr/>
        <a:lstStyle/>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Za financiranje redovitih političkih aktivnosti tijekom godine fizičke i pravne osobe mogu davati donacije političkim strankama, nezavisnim zastupnicima i nezavisnim vijećnicima, jednokratno ili više puta tijekom kalendarske godine.</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Donacije u novcu za financiranje redovitih političkih aktivnosti tijekom godine donator uplaćuje na središnji račun političke stranke odnosno poseban račun nezavisnog zastupnika odnosno nezavisnog vijećnika. </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Za donacije koje se daju u obliku proizvoda ili usluga (</a:t>
          </a:r>
          <a:r>
            <a:rPr lang="hr-HR" sz="1200" i="1">
              <a:solidFill>
                <a:srgbClr val="002060"/>
              </a:solidFill>
              <a:latin typeface="Arial" panose="020B0604020202020204" pitchFamily="34" charset="0"/>
              <a:cs typeface="Arial" panose="020B0604020202020204" pitchFamily="34" charset="0"/>
            </a:rPr>
            <a:t>uključujući donacije u ostalim nenovčanim oblicima</a:t>
          </a:r>
          <a:r>
            <a:rPr lang="hr-HR" sz="1200">
              <a:solidFill>
                <a:srgbClr val="002060"/>
              </a:solidFill>
              <a:latin typeface="Arial" panose="020B0604020202020204" pitchFamily="34" charset="0"/>
              <a:cs typeface="Arial" panose="020B0604020202020204" pitchFamily="34" charset="0"/>
            </a:rPr>
            <a:t>), fizičke i pravne osobe dužne su izdati potvrdu na kojoj će biti naznačena tržišna vrijednost darovanog proizvoda ili usluge te na kojoj je naznačeno da glasi na političku stranku odnosno nezavisnog zastupnika ili nezavisnog vijećnika.</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Propisana je i obveza zaključivanja ugovora između davatelja i primatelja donacije (</a:t>
          </a:r>
          <a:r>
            <a:rPr lang="hr-HR" sz="1200" i="1">
              <a:solidFill>
                <a:srgbClr val="002060"/>
              </a:solidFill>
              <a:latin typeface="Arial" panose="020B0604020202020204" pitchFamily="34" charset="0"/>
              <a:cs typeface="Arial" panose="020B0604020202020204" pitchFamily="34" charset="0"/>
            </a:rPr>
            <a:t>ovisno o vrijednosti donacije</a:t>
          </a:r>
          <a:r>
            <a:rPr lang="hr-HR" sz="1200">
              <a:solidFill>
                <a:srgbClr val="002060"/>
              </a:solidFill>
              <a:latin typeface="Arial" panose="020B0604020202020204" pitchFamily="34" charset="0"/>
              <a:cs typeface="Arial" panose="020B0604020202020204" pitchFamily="34" charset="0"/>
            </a:rPr>
            <a:t>) te postupanje u slučaju nezaključivanja spomenutog ugovora; dostava izjave fizičke i pravne osobe koje daju donacije primatelju donacije (</a:t>
          </a:r>
          <a:r>
            <a:rPr lang="hr-HR" sz="1200" i="1">
              <a:solidFill>
                <a:srgbClr val="002060"/>
              </a:solidFill>
              <a:latin typeface="Arial" panose="020B0604020202020204" pitchFamily="34" charset="0"/>
              <a:cs typeface="Arial" panose="020B0604020202020204" pitchFamily="34" charset="0"/>
            </a:rPr>
            <a:t>da se protiv njih ne vodi postupak naplate dospjelih nepodmirenih obveza prema državnom proračunu odnosno proračunu jedinice samouprave ili zaposlenicima</a:t>
          </a:r>
          <a:r>
            <a:rPr lang="hr-HR" sz="1200">
              <a:solidFill>
                <a:srgbClr val="002060"/>
              </a:solidFill>
              <a:latin typeface="Arial" panose="020B0604020202020204" pitchFamily="34" charset="0"/>
              <a:cs typeface="Arial" panose="020B0604020202020204" pitchFamily="34" charset="0"/>
            </a:rPr>
            <a:t>) te postupanje u slučaju kada politička stranka, nezavisni zastupnik odnosno nezavisni vijećnik ne želi zadržati uplaćenu donaciju. </a:t>
          </a:r>
        </a:p>
      </dgm:t>
    </dgm:pt>
    <dgm:pt modelId="{29D2A2F4-85B8-4BD6-82CA-002A343C4077}" type="parTrans" cxnId="{4B9C4E62-888E-4BCD-BFE2-FBB9870E9456}">
      <dgm:prSet/>
      <dgm:spPr/>
      <dgm:t>
        <a:bodyPr/>
        <a:lstStyle/>
        <a:p>
          <a:endParaRPr lang="hr-HR"/>
        </a:p>
      </dgm:t>
    </dgm:pt>
    <dgm:pt modelId="{F931FC17-CC08-4155-BE52-5AE1C414027F}" type="sibTrans" cxnId="{4B9C4E62-888E-4BCD-BFE2-FBB9870E9456}">
      <dgm:prSet/>
      <dgm:spPr/>
      <dgm:t>
        <a:bodyPr/>
        <a:lstStyle/>
        <a:p>
          <a:endParaRPr lang="hr-HR"/>
        </a:p>
      </dgm:t>
    </dgm:pt>
    <dgm:pt modelId="{EEBBCF7B-F4B0-49C0-9812-12878BA5E53D}" type="pres">
      <dgm:prSet presAssocID="{D523571B-9F12-4F9D-BC86-F2599EDA587D}" presName="Name0" presStyleCnt="0">
        <dgm:presLayoutVars>
          <dgm:dir/>
          <dgm:resizeHandles val="exact"/>
        </dgm:presLayoutVars>
      </dgm:prSet>
      <dgm:spPr/>
      <dgm:t>
        <a:bodyPr/>
        <a:lstStyle/>
        <a:p>
          <a:endParaRPr lang="hr-HR"/>
        </a:p>
      </dgm:t>
    </dgm:pt>
    <dgm:pt modelId="{0CA9583C-DA8A-4D5F-86B9-B1CCEE9DF2E5}" type="pres">
      <dgm:prSet presAssocID="{E330A45B-3C3D-4CF1-958F-6AE4522957FC}" presName="composite" presStyleCnt="0"/>
      <dgm:spPr/>
    </dgm:pt>
    <dgm:pt modelId="{69626C0B-4619-4376-915D-29240076FC36}" type="pres">
      <dgm:prSet presAssocID="{E330A45B-3C3D-4CF1-958F-6AE4522957FC}" presName="rect1" presStyleLbl="trAlignAcc1" presStyleIdx="0" presStyleCnt="1" custScaleY="269940">
        <dgm:presLayoutVars>
          <dgm:bulletEnabled val="1"/>
        </dgm:presLayoutVars>
      </dgm:prSet>
      <dgm:spPr/>
      <dgm:t>
        <a:bodyPr/>
        <a:lstStyle/>
        <a:p>
          <a:endParaRPr lang="hr-HR"/>
        </a:p>
      </dgm:t>
    </dgm:pt>
    <dgm:pt modelId="{D4331FE3-9720-4BC1-9CD1-0F1C43E5470F}" type="pres">
      <dgm:prSet presAssocID="{E330A45B-3C3D-4CF1-958F-6AE4522957FC}" presName="rect2" presStyleLbl="fgImgPlace1" presStyleIdx="0" presStyleCnt="1"/>
      <dgm:spPr>
        <a:solidFill>
          <a:schemeClr val="accent1">
            <a:tint val="50000"/>
            <a:hueOff val="0"/>
            <a:satOff val="0"/>
            <a:lumOff val="0"/>
          </a:schemeClr>
        </a:solidFill>
      </dgm:spPr>
      <dgm:extLst>
        <a:ext uri="{E40237B7-FDA0-4F09-8148-C483321AD2D9}">
          <dgm14:cNvPr xmlns:dgm14="http://schemas.microsoft.com/office/drawing/2010/diagram" id="0" name="" title="Financijsko izvještavanje u sustavu dvojnog knjigovodstva "/>
        </a:ext>
      </dgm:extLst>
    </dgm:pt>
  </dgm:ptLst>
  <dgm:cxnLst>
    <dgm:cxn modelId="{CBCD6BBC-98BD-4D4B-8E3B-8C3E4276F26B}" type="presOf" srcId="{D523571B-9F12-4F9D-BC86-F2599EDA587D}" destId="{EEBBCF7B-F4B0-49C0-9812-12878BA5E53D}" srcOrd="0" destOrd="0" presId="urn:microsoft.com/office/officeart/2008/layout/PictureStrips"/>
    <dgm:cxn modelId="{2238B3FA-9B1D-404F-9CB7-5E62B5A216C2}" type="presOf" srcId="{E330A45B-3C3D-4CF1-958F-6AE4522957FC}" destId="{69626C0B-4619-4376-915D-29240076FC36}" srcOrd="0" destOrd="0" presId="urn:microsoft.com/office/officeart/2008/layout/PictureStrips"/>
    <dgm:cxn modelId="{4B9C4E62-888E-4BCD-BFE2-FBB9870E9456}" srcId="{D523571B-9F12-4F9D-BC86-F2599EDA587D}" destId="{E330A45B-3C3D-4CF1-958F-6AE4522957FC}" srcOrd="0" destOrd="0" parTransId="{29D2A2F4-85B8-4BD6-82CA-002A343C4077}" sibTransId="{F931FC17-CC08-4155-BE52-5AE1C414027F}"/>
    <dgm:cxn modelId="{168A6ADF-283D-4044-A449-661CA1BEBD4B}" type="presParOf" srcId="{EEBBCF7B-F4B0-49C0-9812-12878BA5E53D}" destId="{0CA9583C-DA8A-4D5F-86B9-B1CCEE9DF2E5}" srcOrd="0" destOrd="0" presId="urn:microsoft.com/office/officeart/2008/layout/PictureStrips"/>
    <dgm:cxn modelId="{26B5B0E2-949C-4CE6-A9DD-579EAB652D6A}" type="presParOf" srcId="{0CA9583C-DA8A-4D5F-86B9-B1CCEE9DF2E5}" destId="{69626C0B-4619-4376-915D-29240076FC36}" srcOrd="0" destOrd="0" presId="urn:microsoft.com/office/officeart/2008/layout/PictureStrips"/>
    <dgm:cxn modelId="{21263E0B-BFC9-4952-87D7-A4940D685EC8}" type="presParOf" srcId="{0CA9583C-DA8A-4D5F-86B9-B1CCEE9DF2E5}" destId="{D4331FE3-9720-4BC1-9CD1-0F1C43E5470F}" srcOrd="1" destOrd="0" presId="urn:microsoft.com/office/officeart/2008/layout/PictureStrip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23571B-9F12-4F9D-BC86-F2599EDA587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hr-HR"/>
        </a:p>
      </dgm:t>
    </dgm:pt>
    <dgm:pt modelId="{E330A45B-3C3D-4CF1-958F-6AE4522957FC}">
      <dgm:prSet phldrT="[Tekst]" custT="1"/>
      <dgm:spPr/>
      <dgm:t>
        <a:bodyPr/>
        <a:lstStyle/>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Političke stranke, nezavisni zastupnici i nezavisni vijećnici dužni su, prema odredbama članka 20. Zakona o financiranju političkih aktivnosti, izborne promidžbe i referenduma, voditi evidenciju o primitku donacija za financiranje redovite godišnje političke aktivnosti te izdavati potvrde o primitku donacija. </a:t>
          </a:r>
        </a:p>
        <a:p>
          <a:pPr algn="just">
            <a:lnSpc>
              <a:spcPct val="100000"/>
            </a:lnSpc>
            <a:spcAft>
              <a:spcPts val="0"/>
            </a:spcAft>
          </a:pPr>
          <a:endParaRPr lang="hr-HR" sz="1200">
            <a:solidFill>
              <a:srgbClr val="002060"/>
            </a:solidFill>
            <a:latin typeface="Arial" panose="020B0604020202020204" pitchFamily="34" charset="0"/>
            <a:cs typeface="Arial" panose="020B0604020202020204" pitchFamily="34" charset="0"/>
          </a:endParaRP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Način vođenja evidencija i izdavanja potvrda te obrazac evidencije i potvrde propisani su Pravilnikom o načinu vođenja evidencija, izdavanja potvrda te unosa izvješća o financiranju političkih aktivnosti, izborne promidžbe i referenduma u informacijski sustav za nadzor financiranja (Narodne novine 71/19).</a:t>
          </a:r>
        </a:p>
        <a:p>
          <a:pPr algn="just">
            <a:lnSpc>
              <a:spcPct val="100000"/>
            </a:lnSpc>
            <a:spcAft>
              <a:spcPts val="0"/>
            </a:spcAft>
          </a:pPr>
          <a:endParaRPr lang="hr-HR" sz="1200">
            <a:solidFill>
              <a:srgbClr val="002060"/>
            </a:solidFill>
            <a:latin typeface="Arial" panose="020B0604020202020204" pitchFamily="34" charset="0"/>
            <a:cs typeface="Arial" panose="020B0604020202020204" pitchFamily="34" charset="0"/>
          </a:endParaRP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Evidencija o primitku donacija za financiranje redovite godišnje političke aktivnosti sastavlja se na Obrascu          EV-D-RPA, a potvrda o primitku donacija na Obrascu       POT-D-RPA.</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Evidencija o donacijama koje su uplaćene u državni proračun sastavlja se na Obrascu EV-D-RPA </a:t>
          </a:r>
          <a:r>
            <a:rPr lang="hr-HR" sz="1200">
              <a:solidFill>
                <a:srgbClr val="002060"/>
              </a:solidFill>
              <a:latin typeface="Arial" panose="020B0604020202020204" pitchFamily="34" charset="0"/>
              <a:cs typeface="Arial" panose="020B0604020202020204" pitchFamily="34" charset="0"/>
              <a:sym typeface="Symbol" panose="05050102010706020507" pitchFamily="18" charset="2"/>
            </a:rPr>
            <a:t></a:t>
          </a:r>
          <a:r>
            <a:rPr lang="hr-HR" sz="1200">
              <a:solidFill>
                <a:srgbClr val="002060"/>
              </a:solidFill>
              <a:latin typeface="Arial" panose="020B0604020202020204" pitchFamily="34" charset="0"/>
              <a:cs typeface="Arial" panose="020B0604020202020204" pitchFamily="34" charset="0"/>
            </a:rPr>
            <a:t> pov DP.</a:t>
          </a:r>
        </a:p>
      </dgm:t>
    </dgm:pt>
    <dgm:pt modelId="{29D2A2F4-85B8-4BD6-82CA-002A343C4077}" type="parTrans" cxnId="{4B9C4E62-888E-4BCD-BFE2-FBB9870E9456}">
      <dgm:prSet/>
      <dgm:spPr/>
      <dgm:t>
        <a:bodyPr/>
        <a:lstStyle/>
        <a:p>
          <a:endParaRPr lang="hr-HR"/>
        </a:p>
      </dgm:t>
    </dgm:pt>
    <dgm:pt modelId="{F931FC17-CC08-4155-BE52-5AE1C414027F}" type="sibTrans" cxnId="{4B9C4E62-888E-4BCD-BFE2-FBB9870E9456}">
      <dgm:prSet/>
      <dgm:spPr/>
      <dgm:t>
        <a:bodyPr/>
        <a:lstStyle/>
        <a:p>
          <a:endParaRPr lang="hr-HR"/>
        </a:p>
      </dgm:t>
    </dgm:pt>
    <dgm:pt modelId="{FAD1B189-9E3C-47FA-B93E-7FD7E28935E0}">
      <dgm:prSet phldrT="[Tekst]" custT="1"/>
      <dgm:spPr/>
      <dgm:t>
        <a:bodyPr/>
        <a:lstStyle/>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Prema odredbama članaka 4. i 5. Pravilnika o načinu vođenja evidencija, izdavanja potvrda te unosa izvješća o financiranju političkih aktivnosti, izborne promidžbe i referenduma u informacijski sustav za nadzor financiranja, političke stranke, nezavisni zastupnici i nezavisni vijećnici dužni su sastaviti i</a:t>
          </a:r>
          <a:r>
            <a:rPr lang="hr-HR" sz="1200" b="1">
              <a:solidFill>
                <a:srgbClr val="002060"/>
              </a:solidFill>
              <a:latin typeface="Arial" panose="020B0604020202020204" pitchFamily="34" charset="0"/>
              <a:cs typeface="Arial" panose="020B0604020202020204" pitchFamily="34" charset="0"/>
            </a:rPr>
            <a:t>zvješće o donacijama za financiranje redovne političke aktivnosti. </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Spomenuto izvješće sastavlja se na </a:t>
          </a:r>
          <a:r>
            <a:rPr lang="hr-HR" sz="1200" b="1">
              <a:solidFill>
                <a:srgbClr val="002060"/>
              </a:solidFill>
              <a:latin typeface="Arial" panose="020B0604020202020204" pitchFamily="34" charset="0"/>
              <a:cs typeface="Arial" panose="020B0604020202020204" pitchFamily="34" charset="0"/>
            </a:rPr>
            <a:t>Obrascu IZ-D-RPA</a:t>
          </a:r>
          <a:r>
            <a:rPr lang="hr-HR" sz="1200">
              <a:solidFill>
                <a:srgbClr val="002060"/>
              </a:solidFill>
              <a:latin typeface="Arial" panose="020B0604020202020204" pitchFamily="34" charset="0"/>
              <a:cs typeface="Arial" panose="020B0604020202020204" pitchFamily="34" charset="0"/>
            </a:rPr>
            <a:t>, koji je sastavni dio Pravilnika (u prilogu). </a:t>
          </a:r>
        </a:p>
        <a:p>
          <a:pPr algn="just">
            <a:lnSpc>
              <a:spcPct val="90000"/>
            </a:lnSpc>
            <a:spcAft>
              <a:spcPts val="0"/>
            </a:spcAft>
          </a:pPr>
          <a:endParaRPr lang="hr-HR" sz="1200">
            <a:solidFill>
              <a:srgbClr val="002060"/>
            </a:solidFill>
            <a:latin typeface="Arial" panose="020B0604020202020204" pitchFamily="34" charset="0"/>
            <a:cs typeface="Arial" panose="020B0604020202020204" pitchFamily="34" charset="0"/>
          </a:endParaRPr>
        </a:p>
        <a:p>
          <a:pPr algn="just">
            <a:lnSpc>
              <a:spcPct val="90000"/>
            </a:lnSpc>
            <a:spcAft>
              <a:spcPct val="35000"/>
            </a:spcAft>
          </a:pPr>
          <a:endParaRPr lang="hr-HR" sz="1200">
            <a:solidFill>
              <a:srgbClr val="002060"/>
            </a:solidFill>
            <a:latin typeface="Arial" panose="020B0604020202020204" pitchFamily="34" charset="0"/>
            <a:cs typeface="Arial" panose="020B0604020202020204" pitchFamily="34" charset="0"/>
          </a:endParaRPr>
        </a:p>
      </dgm:t>
    </dgm:pt>
    <dgm:pt modelId="{1C4DFB98-54BE-424F-89ED-74CD184C9F58}" type="parTrans" cxnId="{7071570A-D7A8-4C00-AEA5-99C60A323BFF}">
      <dgm:prSet/>
      <dgm:spPr/>
      <dgm:t>
        <a:bodyPr/>
        <a:lstStyle/>
        <a:p>
          <a:endParaRPr lang="hr-HR"/>
        </a:p>
      </dgm:t>
    </dgm:pt>
    <dgm:pt modelId="{9053EDD2-B151-49A7-90B1-CFB79D0E3850}" type="sibTrans" cxnId="{7071570A-D7A8-4C00-AEA5-99C60A323BFF}">
      <dgm:prSet/>
      <dgm:spPr/>
      <dgm:t>
        <a:bodyPr/>
        <a:lstStyle/>
        <a:p>
          <a:endParaRPr lang="hr-HR"/>
        </a:p>
      </dgm:t>
    </dgm:pt>
    <dgm:pt modelId="{EEBBCF7B-F4B0-49C0-9812-12878BA5E53D}" type="pres">
      <dgm:prSet presAssocID="{D523571B-9F12-4F9D-BC86-F2599EDA587D}" presName="Name0" presStyleCnt="0">
        <dgm:presLayoutVars>
          <dgm:dir/>
          <dgm:resizeHandles val="exact"/>
        </dgm:presLayoutVars>
      </dgm:prSet>
      <dgm:spPr/>
      <dgm:t>
        <a:bodyPr/>
        <a:lstStyle/>
        <a:p>
          <a:endParaRPr lang="hr-HR"/>
        </a:p>
      </dgm:t>
    </dgm:pt>
    <dgm:pt modelId="{0CA9583C-DA8A-4D5F-86B9-B1CCEE9DF2E5}" type="pres">
      <dgm:prSet presAssocID="{E330A45B-3C3D-4CF1-958F-6AE4522957FC}" presName="composite" presStyleCnt="0"/>
      <dgm:spPr/>
    </dgm:pt>
    <dgm:pt modelId="{69626C0B-4619-4376-915D-29240076FC36}" type="pres">
      <dgm:prSet presAssocID="{E330A45B-3C3D-4CF1-958F-6AE4522957FC}" presName="rect1" presStyleLbl="trAlignAcc1" presStyleIdx="0" presStyleCnt="2" custScaleY="231748">
        <dgm:presLayoutVars>
          <dgm:bulletEnabled val="1"/>
        </dgm:presLayoutVars>
      </dgm:prSet>
      <dgm:spPr/>
      <dgm:t>
        <a:bodyPr/>
        <a:lstStyle/>
        <a:p>
          <a:endParaRPr lang="hr-HR"/>
        </a:p>
      </dgm:t>
    </dgm:pt>
    <dgm:pt modelId="{D4331FE3-9720-4BC1-9CD1-0F1C43E5470F}" type="pres">
      <dgm:prSet presAssocID="{E330A45B-3C3D-4CF1-958F-6AE4522957FC}" presName="rect2" presStyleLbl="fgImgPlace1" presStyleIdx="0" presStyleCnt="2" custLinFactNeighborX="-12078" custLinFactNeighborY="1499"/>
      <dgm:spPr>
        <a:solidFill>
          <a:schemeClr val="accent1">
            <a:tint val="50000"/>
            <a:hueOff val="0"/>
            <a:satOff val="0"/>
            <a:lumOff val="0"/>
          </a:schemeClr>
        </a:solidFill>
      </dgm:spPr>
      <dgm:extLst>
        <a:ext uri="{E40237B7-FDA0-4F09-8148-C483321AD2D9}">
          <dgm14:cNvPr xmlns:dgm14="http://schemas.microsoft.com/office/drawing/2010/diagram" id="0" name="" title="Financijsko izvještavanje u sustavu dvojnog knjigovodstva "/>
        </a:ext>
      </dgm:extLst>
    </dgm:pt>
    <dgm:pt modelId="{ED421C7A-0C45-406B-950B-22CEABD1F075}" type="pres">
      <dgm:prSet presAssocID="{F931FC17-CC08-4155-BE52-5AE1C414027F}" presName="sibTrans" presStyleCnt="0"/>
      <dgm:spPr/>
    </dgm:pt>
    <dgm:pt modelId="{33455377-72AB-4098-810B-CDB9670266C0}" type="pres">
      <dgm:prSet presAssocID="{FAD1B189-9E3C-47FA-B93E-7FD7E28935E0}" presName="composite" presStyleCnt="0"/>
      <dgm:spPr/>
    </dgm:pt>
    <dgm:pt modelId="{9BA034D4-8123-4441-BD48-C596E092F467}" type="pres">
      <dgm:prSet presAssocID="{FAD1B189-9E3C-47FA-B93E-7FD7E28935E0}" presName="rect1" presStyleLbl="trAlignAcc1" presStyleIdx="1" presStyleCnt="2" custScaleY="141901" custLinFactNeighborX="380" custLinFactNeighborY="2434">
        <dgm:presLayoutVars>
          <dgm:bulletEnabled val="1"/>
        </dgm:presLayoutVars>
      </dgm:prSet>
      <dgm:spPr/>
      <dgm:t>
        <a:bodyPr/>
        <a:lstStyle/>
        <a:p>
          <a:endParaRPr lang="hr-HR"/>
        </a:p>
      </dgm:t>
    </dgm:pt>
    <dgm:pt modelId="{B679639D-1318-4697-AC2A-A262ED1AE8DC}" type="pres">
      <dgm:prSet presAssocID="{FAD1B189-9E3C-47FA-B93E-7FD7E28935E0}" presName="rect2" presStyleLbl="fgImgPlace1" presStyleIdx="1" presStyleCnt="2" custLinFactNeighborX="-233" custLinFactNeighborY="12929"/>
      <dgm:spPr>
        <a:solidFill>
          <a:schemeClr val="accent1">
            <a:tint val="50000"/>
            <a:hueOff val="0"/>
            <a:satOff val="0"/>
            <a:lumOff val="0"/>
          </a:schemeClr>
        </a:solidFill>
      </dgm:spPr>
    </dgm:pt>
  </dgm:ptLst>
  <dgm:cxnLst>
    <dgm:cxn modelId="{7071570A-D7A8-4C00-AEA5-99C60A323BFF}" srcId="{D523571B-9F12-4F9D-BC86-F2599EDA587D}" destId="{FAD1B189-9E3C-47FA-B93E-7FD7E28935E0}" srcOrd="1" destOrd="0" parTransId="{1C4DFB98-54BE-424F-89ED-74CD184C9F58}" sibTransId="{9053EDD2-B151-49A7-90B1-CFB79D0E3850}"/>
    <dgm:cxn modelId="{4B9C4E62-888E-4BCD-BFE2-FBB9870E9456}" srcId="{D523571B-9F12-4F9D-BC86-F2599EDA587D}" destId="{E330A45B-3C3D-4CF1-958F-6AE4522957FC}" srcOrd="0" destOrd="0" parTransId="{29D2A2F4-85B8-4BD6-82CA-002A343C4077}" sibTransId="{F931FC17-CC08-4155-BE52-5AE1C414027F}"/>
    <dgm:cxn modelId="{2238B3FA-9B1D-404F-9CB7-5E62B5A216C2}" type="presOf" srcId="{E330A45B-3C3D-4CF1-958F-6AE4522957FC}" destId="{69626C0B-4619-4376-915D-29240076FC36}" srcOrd="0" destOrd="0" presId="urn:microsoft.com/office/officeart/2008/layout/PictureStrips"/>
    <dgm:cxn modelId="{CBCD6BBC-98BD-4D4B-8E3B-8C3E4276F26B}" type="presOf" srcId="{D523571B-9F12-4F9D-BC86-F2599EDA587D}" destId="{EEBBCF7B-F4B0-49C0-9812-12878BA5E53D}" srcOrd="0" destOrd="0" presId="urn:microsoft.com/office/officeart/2008/layout/PictureStrips"/>
    <dgm:cxn modelId="{40C98A60-AD73-463F-87BE-51878267F3EF}" type="presOf" srcId="{FAD1B189-9E3C-47FA-B93E-7FD7E28935E0}" destId="{9BA034D4-8123-4441-BD48-C596E092F467}" srcOrd="0" destOrd="0" presId="urn:microsoft.com/office/officeart/2008/layout/PictureStrips"/>
    <dgm:cxn modelId="{168A6ADF-283D-4044-A449-661CA1BEBD4B}" type="presParOf" srcId="{EEBBCF7B-F4B0-49C0-9812-12878BA5E53D}" destId="{0CA9583C-DA8A-4D5F-86B9-B1CCEE9DF2E5}" srcOrd="0" destOrd="0" presId="urn:microsoft.com/office/officeart/2008/layout/PictureStrips"/>
    <dgm:cxn modelId="{26B5B0E2-949C-4CE6-A9DD-579EAB652D6A}" type="presParOf" srcId="{0CA9583C-DA8A-4D5F-86B9-B1CCEE9DF2E5}" destId="{69626C0B-4619-4376-915D-29240076FC36}" srcOrd="0" destOrd="0" presId="urn:microsoft.com/office/officeart/2008/layout/PictureStrips"/>
    <dgm:cxn modelId="{21263E0B-BFC9-4952-87D7-A4940D685EC8}" type="presParOf" srcId="{0CA9583C-DA8A-4D5F-86B9-B1CCEE9DF2E5}" destId="{D4331FE3-9720-4BC1-9CD1-0F1C43E5470F}" srcOrd="1" destOrd="0" presId="urn:microsoft.com/office/officeart/2008/layout/PictureStrips"/>
    <dgm:cxn modelId="{194F71A9-EBD0-4221-9720-2B86F642F1B6}" type="presParOf" srcId="{EEBBCF7B-F4B0-49C0-9812-12878BA5E53D}" destId="{ED421C7A-0C45-406B-950B-22CEABD1F075}" srcOrd="1" destOrd="0" presId="urn:microsoft.com/office/officeart/2008/layout/PictureStrips"/>
    <dgm:cxn modelId="{BD6F54E6-3082-4508-81BC-50B2720CCA1E}" type="presParOf" srcId="{EEBBCF7B-F4B0-49C0-9812-12878BA5E53D}" destId="{33455377-72AB-4098-810B-CDB9670266C0}" srcOrd="2" destOrd="0" presId="urn:microsoft.com/office/officeart/2008/layout/PictureStrips"/>
    <dgm:cxn modelId="{D3625081-45CD-4486-9DA5-2C4E94F0BB09}" type="presParOf" srcId="{33455377-72AB-4098-810B-CDB9670266C0}" destId="{9BA034D4-8123-4441-BD48-C596E092F467}" srcOrd="0" destOrd="0" presId="urn:microsoft.com/office/officeart/2008/layout/PictureStrips"/>
    <dgm:cxn modelId="{ACB93A1C-BBD0-45F7-952D-FC219BDC77C6}" type="presParOf" srcId="{33455377-72AB-4098-810B-CDB9670266C0}" destId="{B679639D-1318-4697-AC2A-A262ED1AE8DC}" srcOrd="1" destOrd="0" presId="urn:microsoft.com/office/officeart/2008/layout/PictureStrip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523571B-9F12-4F9D-BC86-F2599EDA587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hr-HR"/>
        </a:p>
      </dgm:t>
    </dgm:pt>
    <dgm:pt modelId="{E330A45B-3C3D-4CF1-958F-6AE4522957FC}">
      <dgm:prSet phldrT="[Tekst]" custT="1"/>
      <dgm:spPr/>
      <dgm:t>
        <a:bodyPr/>
        <a:lstStyle/>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Prema odredbi članka 52. Zakona o financiranju političkih aktivnosti, izborne promidžbe i referenduma, izvješće o donacijama primljenima tijekom godine sa specificiranim podacima o fizičkim i pravnim osobama koje su dale donacije (</a:t>
          </a:r>
          <a:r>
            <a:rPr lang="hr-HR" sz="1200" i="1">
              <a:solidFill>
                <a:srgbClr val="002060"/>
              </a:solidFill>
              <a:latin typeface="Arial" panose="020B0604020202020204" pitchFamily="34" charset="0"/>
              <a:cs typeface="Arial" panose="020B0604020202020204" pitchFamily="34" charset="0"/>
            </a:rPr>
            <a:t>osobno ime odnosno naziv i adresa te osobni identifikacijski broj</a:t>
          </a:r>
          <a:r>
            <a:rPr lang="hr-HR" sz="1200">
              <a:solidFill>
                <a:srgbClr val="002060"/>
              </a:solidFill>
              <a:latin typeface="Arial" panose="020B0604020202020204" pitchFamily="34" charset="0"/>
              <a:cs typeface="Arial" panose="020B0604020202020204" pitchFamily="34" charset="0"/>
            </a:rPr>
            <a:t>), datumu uplate donacije odnosno davanja proizvoda ili pružanja usluga bez naplate, o uplaćenom iznosu donacije odnosno tržišnoj vrijednosti darovanog proizvoda ili usluge naznačenoj na potvrdi te o vrsti svake pojedine donacije </a:t>
          </a:r>
          <a:r>
            <a:rPr lang="hr-HR" sz="1200" b="1">
              <a:solidFill>
                <a:srgbClr val="002060"/>
              </a:solidFill>
              <a:latin typeface="Arial" panose="020B0604020202020204" pitchFamily="34" charset="0"/>
              <a:cs typeface="Arial" panose="020B0604020202020204" pitchFamily="34" charset="0"/>
            </a:rPr>
            <a:t>sastavni je dio godišnjih financijskih izvještaja, a političke stranke, nezavisni zastupnici i nezavisni vijećnici dužni su ih priložiti, unosom u informacijski sustav za nadzor financiranja.</a:t>
          </a:r>
          <a:r>
            <a:rPr lang="hr-HR" sz="1200">
              <a:solidFill>
                <a:srgbClr val="002060"/>
              </a:solidFill>
              <a:latin typeface="Arial" panose="020B0604020202020204" pitchFamily="34" charset="0"/>
              <a:cs typeface="Arial" panose="020B0604020202020204" pitchFamily="34" charset="0"/>
            </a:rPr>
            <a:t> </a:t>
          </a:r>
        </a:p>
        <a:p>
          <a:pPr algn="just">
            <a:lnSpc>
              <a:spcPct val="100000"/>
            </a:lnSpc>
            <a:spcAft>
              <a:spcPts val="0"/>
            </a:spcAft>
          </a:pPr>
          <a:endParaRPr lang="hr-HR" sz="1200">
            <a:solidFill>
              <a:srgbClr val="002060"/>
            </a:solidFill>
            <a:latin typeface="Arial" panose="020B0604020202020204" pitchFamily="34" charset="0"/>
            <a:cs typeface="Arial" panose="020B0604020202020204" pitchFamily="34" charset="0"/>
          </a:endParaRP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Prema odredbama istog članka spomenutog Zakona, političke stranke, nezavisni zastupnici i nezavisni vijećnici dužni su sastavljati financijski izvještaj na način koji je prema propisima o vođenju računovodstva neprofitnih organizacija propisan za neprofitne organizacije koje vode dvojno odnosno jednostavno knjigovodstvo, ovisno o vrijednosti imovine i visini ostvarenih prihoda u godini koja prethodi godini za koju se sastavljanju financijski izvještaji. </a:t>
          </a:r>
        </a:p>
      </dgm:t>
    </dgm:pt>
    <dgm:pt modelId="{29D2A2F4-85B8-4BD6-82CA-002A343C4077}" type="parTrans" cxnId="{4B9C4E62-888E-4BCD-BFE2-FBB9870E9456}">
      <dgm:prSet/>
      <dgm:spPr/>
      <dgm:t>
        <a:bodyPr/>
        <a:lstStyle/>
        <a:p>
          <a:endParaRPr lang="hr-HR"/>
        </a:p>
      </dgm:t>
    </dgm:pt>
    <dgm:pt modelId="{F931FC17-CC08-4155-BE52-5AE1C414027F}" type="sibTrans" cxnId="{4B9C4E62-888E-4BCD-BFE2-FBB9870E9456}">
      <dgm:prSet/>
      <dgm:spPr/>
      <dgm:t>
        <a:bodyPr/>
        <a:lstStyle/>
        <a:p>
          <a:endParaRPr lang="hr-HR"/>
        </a:p>
      </dgm:t>
    </dgm:pt>
    <dgm:pt modelId="{EEBBCF7B-F4B0-49C0-9812-12878BA5E53D}" type="pres">
      <dgm:prSet presAssocID="{D523571B-9F12-4F9D-BC86-F2599EDA587D}" presName="Name0" presStyleCnt="0">
        <dgm:presLayoutVars>
          <dgm:dir/>
          <dgm:resizeHandles val="exact"/>
        </dgm:presLayoutVars>
      </dgm:prSet>
      <dgm:spPr/>
      <dgm:t>
        <a:bodyPr/>
        <a:lstStyle/>
        <a:p>
          <a:endParaRPr lang="hr-HR"/>
        </a:p>
      </dgm:t>
    </dgm:pt>
    <dgm:pt modelId="{0CA9583C-DA8A-4D5F-86B9-B1CCEE9DF2E5}" type="pres">
      <dgm:prSet presAssocID="{E330A45B-3C3D-4CF1-958F-6AE4522957FC}" presName="composite" presStyleCnt="0"/>
      <dgm:spPr/>
    </dgm:pt>
    <dgm:pt modelId="{69626C0B-4619-4376-915D-29240076FC36}" type="pres">
      <dgm:prSet presAssocID="{E330A45B-3C3D-4CF1-958F-6AE4522957FC}" presName="rect1" presStyleLbl="trAlignAcc1" presStyleIdx="0" presStyleCnt="1" custScaleY="252256">
        <dgm:presLayoutVars>
          <dgm:bulletEnabled val="1"/>
        </dgm:presLayoutVars>
      </dgm:prSet>
      <dgm:spPr/>
      <dgm:t>
        <a:bodyPr/>
        <a:lstStyle/>
        <a:p>
          <a:endParaRPr lang="hr-HR"/>
        </a:p>
      </dgm:t>
    </dgm:pt>
    <dgm:pt modelId="{D4331FE3-9720-4BC1-9CD1-0F1C43E5470F}" type="pres">
      <dgm:prSet presAssocID="{E330A45B-3C3D-4CF1-958F-6AE4522957FC}" presName="rect2" presStyleLbl="fgImgPlace1" presStyleIdx="0" presStyleCnt="1"/>
      <dgm:spPr>
        <a:solidFill>
          <a:schemeClr val="accent1">
            <a:tint val="50000"/>
            <a:hueOff val="0"/>
            <a:satOff val="0"/>
            <a:lumOff val="0"/>
          </a:schemeClr>
        </a:solidFill>
      </dgm:spPr>
      <dgm:extLst>
        <a:ext uri="{E40237B7-FDA0-4F09-8148-C483321AD2D9}">
          <dgm14:cNvPr xmlns:dgm14="http://schemas.microsoft.com/office/drawing/2010/diagram" id="0" name="" title="Financijsko izvještavanje u sustavu dvojnog knjigovodstva "/>
        </a:ext>
      </dgm:extLst>
    </dgm:pt>
  </dgm:ptLst>
  <dgm:cxnLst>
    <dgm:cxn modelId="{CBCD6BBC-98BD-4D4B-8E3B-8C3E4276F26B}" type="presOf" srcId="{D523571B-9F12-4F9D-BC86-F2599EDA587D}" destId="{EEBBCF7B-F4B0-49C0-9812-12878BA5E53D}" srcOrd="0" destOrd="0" presId="urn:microsoft.com/office/officeart/2008/layout/PictureStrips"/>
    <dgm:cxn modelId="{2238B3FA-9B1D-404F-9CB7-5E62B5A216C2}" type="presOf" srcId="{E330A45B-3C3D-4CF1-958F-6AE4522957FC}" destId="{69626C0B-4619-4376-915D-29240076FC36}" srcOrd="0" destOrd="0" presId="urn:microsoft.com/office/officeart/2008/layout/PictureStrips"/>
    <dgm:cxn modelId="{4B9C4E62-888E-4BCD-BFE2-FBB9870E9456}" srcId="{D523571B-9F12-4F9D-BC86-F2599EDA587D}" destId="{E330A45B-3C3D-4CF1-958F-6AE4522957FC}" srcOrd="0" destOrd="0" parTransId="{29D2A2F4-85B8-4BD6-82CA-002A343C4077}" sibTransId="{F931FC17-CC08-4155-BE52-5AE1C414027F}"/>
    <dgm:cxn modelId="{168A6ADF-283D-4044-A449-661CA1BEBD4B}" type="presParOf" srcId="{EEBBCF7B-F4B0-49C0-9812-12878BA5E53D}" destId="{0CA9583C-DA8A-4D5F-86B9-B1CCEE9DF2E5}" srcOrd="0" destOrd="0" presId="urn:microsoft.com/office/officeart/2008/layout/PictureStrips"/>
    <dgm:cxn modelId="{26B5B0E2-949C-4CE6-A9DD-579EAB652D6A}" type="presParOf" srcId="{0CA9583C-DA8A-4D5F-86B9-B1CCEE9DF2E5}" destId="{69626C0B-4619-4376-915D-29240076FC36}" srcOrd="0" destOrd="0" presId="urn:microsoft.com/office/officeart/2008/layout/PictureStrips"/>
    <dgm:cxn modelId="{21263E0B-BFC9-4952-87D7-A4940D685EC8}" type="presParOf" srcId="{0CA9583C-DA8A-4D5F-86B9-B1CCEE9DF2E5}" destId="{D4331FE3-9720-4BC1-9CD1-0F1C43E5470F}" srcOrd="1" destOrd="0" presId="urn:microsoft.com/office/officeart/2008/layout/PictureStrip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523571B-9F12-4F9D-BC86-F2599EDA587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hr-HR"/>
        </a:p>
      </dgm:t>
    </dgm:pt>
    <dgm:pt modelId="{E330A45B-3C3D-4CF1-958F-6AE4522957FC}">
      <dgm:prSet phldrT="[Tekst]" custT="1"/>
      <dgm:spPr/>
      <dgm:t>
        <a:bodyPr/>
        <a:lstStyle/>
        <a:p>
          <a:pPr algn="just">
            <a:lnSpc>
              <a:spcPct val="100000"/>
            </a:lnSpc>
            <a:spcAft>
              <a:spcPts val="0"/>
            </a:spcAft>
          </a:pPr>
          <a:r>
            <a:rPr lang="hr-HR" sz="1200" b="1">
              <a:solidFill>
                <a:srgbClr val="002060"/>
              </a:solidFill>
              <a:latin typeface="Arial" panose="020B0604020202020204" pitchFamily="34" charset="0"/>
              <a:cs typeface="Arial" panose="020B0604020202020204" pitchFamily="34" charset="0"/>
            </a:rPr>
            <a:t>Polugodišnje izvješće o donacijama</a:t>
          </a:r>
          <a:r>
            <a:rPr lang="hr-HR" sz="1200">
              <a:solidFill>
                <a:srgbClr val="002060"/>
              </a:solidFill>
              <a:latin typeface="Arial" panose="020B0604020202020204" pitchFamily="34" charset="0"/>
              <a:cs typeface="Arial" panose="020B0604020202020204" pitchFamily="34" charset="0"/>
            </a:rPr>
            <a:t>, osim Pravilnikom o načinu vođenja evidencija, izdavanja potvrda te unosa izvješća o financiranju političkih aktivnosti, izborne promidžbe i referenduma u informacijski sustav za nadzor financiranja,</a:t>
          </a:r>
          <a:r>
            <a:rPr lang="hr-HR" sz="1200" b="1">
              <a:solidFill>
                <a:srgbClr val="002060"/>
              </a:solidFill>
              <a:latin typeface="Arial" panose="020B0604020202020204" pitchFamily="34" charset="0"/>
              <a:cs typeface="Arial" panose="020B0604020202020204" pitchFamily="34" charset="0"/>
            </a:rPr>
            <a:t> </a:t>
          </a:r>
          <a:r>
            <a:rPr lang="hr-HR" sz="1200">
              <a:solidFill>
                <a:srgbClr val="002060"/>
              </a:solidFill>
              <a:latin typeface="Arial" panose="020B0604020202020204" pitchFamily="34" charset="0"/>
              <a:cs typeface="Arial" panose="020B0604020202020204" pitchFamily="34" charset="0"/>
            </a:rPr>
            <a:t>propisano je i odredbama članka 21. Zakona o financiranju političkih aktivnosti, izborne promidžbe i referenduma. </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Političke stranke, nezavisni zastupnici i nezavisni vijećnici koji su u prvih šest mjeseci tekuće godine primili donacije dužni su, sukladno članku 21., stavku 1. Zakona o financiranju političkih aktivnosti, izborne promidžbe i referenduma, najkasnije do 15. srpnja tekuće godine dostaviti Državnom izbornom povjerenstvu, unosom u informacijski sustav za nadzor financiranja, izvješće o donacijama koje su, za potporu svoga političkog djelovanja, primili u prvih šest mjeseci tekuće godine (</a:t>
          </a:r>
          <a:r>
            <a:rPr lang="hr-HR" sz="1200" b="1">
              <a:solidFill>
                <a:srgbClr val="002060"/>
              </a:solidFill>
              <a:latin typeface="Arial" panose="020B0604020202020204" pitchFamily="34" charset="0"/>
              <a:cs typeface="Arial" panose="020B0604020202020204" pitchFamily="34" charset="0"/>
            </a:rPr>
            <a:t>polugodišnje izvješće</a:t>
          </a:r>
          <a:r>
            <a:rPr lang="hr-HR" sz="1200">
              <a:solidFill>
                <a:srgbClr val="002060"/>
              </a:solidFill>
              <a:latin typeface="Arial" panose="020B0604020202020204" pitchFamily="34" charset="0"/>
              <a:cs typeface="Arial" panose="020B0604020202020204" pitchFamily="34" charset="0"/>
            </a:rPr>
            <a:t>). Političke stranke, nezavisni zastupnici i nezavisni vijećnici koji u prvih šest mjeseci tekuće godine nisu primili donacije dužni su u istom roku dostaviti Državnom izbornom povjerenstvu, unosom u informacijski sustav za nadzor financiranja, obavijest da u navedenom razdoblju nisu primili donacije.</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Državno izborno povjerenstvo će na svojim mrežnim stranicama objaviti navedeno izvješće/obavijest prvog radnog dana nakon njihove dostave, a podaci o adresi donatora fizičke osobe se ne objavljuju. Objava traje do objave godišnjeg financijskog izvještaja za kalendarsku godinu na koju se odnosi polugodišnje izvješće o donacijama.</a:t>
          </a:r>
        </a:p>
      </dgm:t>
    </dgm:pt>
    <dgm:pt modelId="{29D2A2F4-85B8-4BD6-82CA-002A343C4077}" type="parTrans" cxnId="{4B9C4E62-888E-4BCD-BFE2-FBB9870E9456}">
      <dgm:prSet/>
      <dgm:spPr/>
      <dgm:t>
        <a:bodyPr/>
        <a:lstStyle/>
        <a:p>
          <a:endParaRPr lang="hr-HR"/>
        </a:p>
      </dgm:t>
    </dgm:pt>
    <dgm:pt modelId="{F931FC17-CC08-4155-BE52-5AE1C414027F}" type="sibTrans" cxnId="{4B9C4E62-888E-4BCD-BFE2-FBB9870E9456}">
      <dgm:prSet/>
      <dgm:spPr/>
      <dgm:t>
        <a:bodyPr/>
        <a:lstStyle/>
        <a:p>
          <a:endParaRPr lang="hr-HR"/>
        </a:p>
      </dgm:t>
    </dgm:pt>
    <dgm:pt modelId="{EEBBCF7B-F4B0-49C0-9812-12878BA5E53D}" type="pres">
      <dgm:prSet presAssocID="{D523571B-9F12-4F9D-BC86-F2599EDA587D}" presName="Name0" presStyleCnt="0">
        <dgm:presLayoutVars>
          <dgm:dir/>
          <dgm:resizeHandles val="exact"/>
        </dgm:presLayoutVars>
      </dgm:prSet>
      <dgm:spPr/>
      <dgm:t>
        <a:bodyPr/>
        <a:lstStyle/>
        <a:p>
          <a:endParaRPr lang="hr-HR"/>
        </a:p>
      </dgm:t>
    </dgm:pt>
    <dgm:pt modelId="{0CA9583C-DA8A-4D5F-86B9-B1CCEE9DF2E5}" type="pres">
      <dgm:prSet presAssocID="{E330A45B-3C3D-4CF1-958F-6AE4522957FC}" presName="composite" presStyleCnt="0"/>
      <dgm:spPr/>
    </dgm:pt>
    <dgm:pt modelId="{69626C0B-4619-4376-915D-29240076FC36}" type="pres">
      <dgm:prSet presAssocID="{E330A45B-3C3D-4CF1-958F-6AE4522957FC}" presName="rect1" presStyleLbl="trAlignAcc1" presStyleIdx="0" presStyleCnt="1" custScaleY="336346">
        <dgm:presLayoutVars>
          <dgm:bulletEnabled val="1"/>
        </dgm:presLayoutVars>
      </dgm:prSet>
      <dgm:spPr/>
      <dgm:t>
        <a:bodyPr/>
        <a:lstStyle/>
        <a:p>
          <a:endParaRPr lang="hr-HR"/>
        </a:p>
      </dgm:t>
    </dgm:pt>
    <dgm:pt modelId="{D4331FE3-9720-4BC1-9CD1-0F1C43E5470F}" type="pres">
      <dgm:prSet presAssocID="{E330A45B-3C3D-4CF1-958F-6AE4522957FC}" presName="rect2" presStyleLbl="fgImgPlace1" presStyleIdx="0" presStyleCnt="1"/>
      <dgm:spPr>
        <a:solidFill>
          <a:schemeClr val="accent1">
            <a:tint val="50000"/>
            <a:hueOff val="0"/>
            <a:satOff val="0"/>
            <a:lumOff val="0"/>
          </a:schemeClr>
        </a:solidFill>
      </dgm:spPr>
      <dgm:extLst>
        <a:ext uri="{E40237B7-FDA0-4F09-8148-C483321AD2D9}">
          <dgm14:cNvPr xmlns:dgm14="http://schemas.microsoft.com/office/drawing/2010/diagram" id="0" name="" title="Financijsko izvještavanje u sustavu dvojnog knjigovodstva "/>
        </a:ext>
      </dgm:extLst>
    </dgm:pt>
  </dgm:ptLst>
  <dgm:cxnLst>
    <dgm:cxn modelId="{CBCD6BBC-98BD-4D4B-8E3B-8C3E4276F26B}" type="presOf" srcId="{D523571B-9F12-4F9D-BC86-F2599EDA587D}" destId="{EEBBCF7B-F4B0-49C0-9812-12878BA5E53D}" srcOrd="0" destOrd="0" presId="urn:microsoft.com/office/officeart/2008/layout/PictureStrips"/>
    <dgm:cxn modelId="{2238B3FA-9B1D-404F-9CB7-5E62B5A216C2}" type="presOf" srcId="{E330A45B-3C3D-4CF1-958F-6AE4522957FC}" destId="{69626C0B-4619-4376-915D-29240076FC36}" srcOrd="0" destOrd="0" presId="urn:microsoft.com/office/officeart/2008/layout/PictureStrips"/>
    <dgm:cxn modelId="{4B9C4E62-888E-4BCD-BFE2-FBB9870E9456}" srcId="{D523571B-9F12-4F9D-BC86-F2599EDA587D}" destId="{E330A45B-3C3D-4CF1-958F-6AE4522957FC}" srcOrd="0" destOrd="0" parTransId="{29D2A2F4-85B8-4BD6-82CA-002A343C4077}" sibTransId="{F931FC17-CC08-4155-BE52-5AE1C414027F}"/>
    <dgm:cxn modelId="{168A6ADF-283D-4044-A449-661CA1BEBD4B}" type="presParOf" srcId="{EEBBCF7B-F4B0-49C0-9812-12878BA5E53D}" destId="{0CA9583C-DA8A-4D5F-86B9-B1CCEE9DF2E5}" srcOrd="0" destOrd="0" presId="urn:microsoft.com/office/officeart/2008/layout/PictureStrips"/>
    <dgm:cxn modelId="{26B5B0E2-949C-4CE6-A9DD-579EAB652D6A}" type="presParOf" srcId="{0CA9583C-DA8A-4D5F-86B9-B1CCEE9DF2E5}" destId="{69626C0B-4619-4376-915D-29240076FC36}" srcOrd="0" destOrd="0" presId="urn:microsoft.com/office/officeart/2008/layout/PictureStrips"/>
    <dgm:cxn modelId="{21263E0B-BFC9-4952-87D7-A4940D685EC8}" type="presParOf" srcId="{0CA9583C-DA8A-4D5F-86B9-B1CCEE9DF2E5}" destId="{D4331FE3-9720-4BC1-9CD1-0F1C43E5470F}" srcOrd="1" destOrd="0" presId="urn:microsoft.com/office/officeart/2008/layout/PictureStrip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26C0B-4619-4376-915D-29240076FC36}">
      <dsp:nvSpPr>
        <dsp:cNvPr id="0" name=""/>
        <dsp:cNvSpPr/>
      </dsp:nvSpPr>
      <dsp:spPr>
        <a:xfrm>
          <a:off x="221920" y="364282"/>
          <a:ext cx="5261800" cy="4438657"/>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3748" tIns="45720" rIns="45720" bIns="45720" numCol="1" spcCol="1270" anchor="ctr" anchorCtr="0">
          <a:noAutofit/>
        </a:bodyPr>
        <a:lstStyle/>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Za financiranje redovitih političkih aktivnosti tijekom godine fizičke i pravne osobe mogu davati donacije političkim strankama, nezavisnim zastupnicima i nezavisnim vijećnicima, jednokratno ili više puta tijekom kalendarske godine.</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Donacije u novcu za financiranje redovitih političkih aktivnosti tijekom godine donator uplaćuje na središnji račun političke stranke odnosno poseban račun nezavisnog zastupnika odnosno nezavisnog vijećnika. </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Za donacije koje se daju u obliku proizvoda ili usluga (</a:t>
          </a:r>
          <a:r>
            <a:rPr lang="hr-HR" sz="1200" i="1" kern="1200">
              <a:solidFill>
                <a:srgbClr val="002060"/>
              </a:solidFill>
              <a:latin typeface="Arial" panose="020B0604020202020204" pitchFamily="34" charset="0"/>
              <a:cs typeface="Arial" panose="020B0604020202020204" pitchFamily="34" charset="0"/>
            </a:rPr>
            <a:t>uključujući donacije u ostalim nenovčanim oblicima</a:t>
          </a:r>
          <a:r>
            <a:rPr lang="hr-HR" sz="1200" kern="1200">
              <a:solidFill>
                <a:srgbClr val="002060"/>
              </a:solidFill>
              <a:latin typeface="Arial" panose="020B0604020202020204" pitchFamily="34" charset="0"/>
              <a:cs typeface="Arial" panose="020B0604020202020204" pitchFamily="34" charset="0"/>
            </a:rPr>
            <a:t>), fizičke i pravne osobe dužne su izdati potvrdu na kojoj će biti naznačena tržišna vrijednost darovanog proizvoda ili usluge te na kojoj je naznačeno da glasi na političku stranku odnosno nezavisnog zastupnika ili nezavisnog vijećnika.</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Propisana je i obveza zaključivanja ugovora između davatelja i primatelja donacije (</a:t>
          </a:r>
          <a:r>
            <a:rPr lang="hr-HR" sz="1200" i="1" kern="1200">
              <a:solidFill>
                <a:srgbClr val="002060"/>
              </a:solidFill>
              <a:latin typeface="Arial" panose="020B0604020202020204" pitchFamily="34" charset="0"/>
              <a:cs typeface="Arial" panose="020B0604020202020204" pitchFamily="34" charset="0"/>
            </a:rPr>
            <a:t>ovisno o vrijednosti donacije</a:t>
          </a:r>
          <a:r>
            <a:rPr lang="hr-HR" sz="1200" kern="1200">
              <a:solidFill>
                <a:srgbClr val="002060"/>
              </a:solidFill>
              <a:latin typeface="Arial" panose="020B0604020202020204" pitchFamily="34" charset="0"/>
              <a:cs typeface="Arial" panose="020B0604020202020204" pitchFamily="34" charset="0"/>
            </a:rPr>
            <a:t>) te postupanje u slučaju nezaključivanja spomenutog ugovora; dostava izjave fizičke i pravne osobe koje daju donacije primatelju donacije (</a:t>
          </a:r>
          <a:r>
            <a:rPr lang="hr-HR" sz="1200" i="1" kern="1200">
              <a:solidFill>
                <a:srgbClr val="002060"/>
              </a:solidFill>
              <a:latin typeface="Arial" panose="020B0604020202020204" pitchFamily="34" charset="0"/>
              <a:cs typeface="Arial" panose="020B0604020202020204" pitchFamily="34" charset="0"/>
            </a:rPr>
            <a:t>da se protiv njih ne vodi postupak naplate dospjelih nepodmirenih obveza prema državnom proračunu odnosno proračunu jedinice samouprave ili zaposlenicima</a:t>
          </a:r>
          <a:r>
            <a:rPr lang="hr-HR" sz="1200" kern="1200">
              <a:solidFill>
                <a:srgbClr val="002060"/>
              </a:solidFill>
              <a:latin typeface="Arial" panose="020B0604020202020204" pitchFamily="34" charset="0"/>
              <a:cs typeface="Arial" panose="020B0604020202020204" pitchFamily="34" charset="0"/>
            </a:rPr>
            <a:t>) te postupanje u slučaju kada politička stranka, nezavisni zastupnik odnosno nezavisni vijećnik ne želi zadržati uplaćenu donaciju. </a:t>
          </a:r>
        </a:p>
      </dsp:txBody>
      <dsp:txXfrm>
        <a:off x="221920" y="364282"/>
        <a:ext cx="5261800" cy="4438657"/>
      </dsp:txXfrm>
    </dsp:sp>
    <dsp:sp modelId="{D4331FE3-9720-4BC1-9CD1-0F1C43E5470F}">
      <dsp:nvSpPr>
        <dsp:cNvPr id="0" name=""/>
        <dsp:cNvSpPr/>
      </dsp:nvSpPr>
      <dsp:spPr>
        <a:xfrm>
          <a:off x="2678" y="1523942"/>
          <a:ext cx="1151018" cy="1726528"/>
        </a:xfrm>
        <a:prstGeom prst="rect">
          <a:avLst/>
        </a:prstGeom>
        <a:solidFill>
          <a:schemeClr val="accent1">
            <a:tint val="50000"/>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26C0B-4619-4376-915D-29240076FC36}">
      <dsp:nvSpPr>
        <dsp:cNvPr id="0" name=""/>
        <dsp:cNvSpPr/>
      </dsp:nvSpPr>
      <dsp:spPr>
        <a:xfrm>
          <a:off x="221920" y="310554"/>
          <a:ext cx="5261800" cy="3810661"/>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3748" tIns="45720" rIns="45720" bIns="45720" numCol="1" spcCol="1270" anchor="ctr" anchorCtr="0">
          <a:noAutofit/>
        </a:bodyPr>
        <a:lstStyle/>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Političke stranke, nezavisni zastupnici i nezavisni vijećnici dužni su, prema odredbama članka 20. Zakona o financiranju političkih aktivnosti, izborne promidžbe i referenduma, voditi evidenciju o primitku donacija za financiranje redovite godišnje političke aktivnosti te izdavati potvrde o primitku donacija. </a:t>
          </a:r>
        </a:p>
        <a:p>
          <a:pPr lvl="0" algn="just" defTabSz="533400">
            <a:lnSpc>
              <a:spcPct val="100000"/>
            </a:lnSpc>
            <a:spcBef>
              <a:spcPct val="0"/>
            </a:spcBef>
            <a:spcAft>
              <a:spcPts val="0"/>
            </a:spcAft>
          </a:pPr>
          <a:endParaRPr lang="hr-HR" sz="1200" kern="1200">
            <a:solidFill>
              <a:srgbClr val="002060"/>
            </a:solidFill>
            <a:latin typeface="Arial" panose="020B0604020202020204" pitchFamily="34" charset="0"/>
            <a:cs typeface="Arial" panose="020B0604020202020204" pitchFamily="34" charset="0"/>
          </a:endParaRP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Način vođenja evidencija i izdavanja potvrda te obrazac evidencije i potvrde propisani su Pravilnikom o načinu vođenja evidencija, izdavanja potvrda te unosa izvješća o financiranju političkih aktivnosti, izborne promidžbe i referenduma u informacijski sustav za nadzor financiranja (Narodne novine 71/19).</a:t>
          </a:r>
        </a:p>
        <a:p>
          <a:pPr lvl="0" algn="just" defTabSz="533400">
            <a:lnSpc>
              <a:spcPct val="100000"/>
            </a:lnSpc>
            <a:spcBef>
              <a:spcPct val="0"/>
            </a:spcBef>
            <a:spcAft>
              <a:spcPts val="0"/>
            </a:spcAft>
          </a:pPr>
          <a:endParaRPr lang="hr-HR" sz="1200" kern="1200">
            <a:solidFill>
              <a:srgbClr val="002060"/>
            </a:solidFill>
            <a:latin typeface="Arial" panose="020B0604020202020204" pitchFamily="34" charset="0"/>
            <a:cs typeface="Arial" panose="020B0604020202020204" pitchFamily="34" charset="0"/>
          </a:endParaRP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Evidencija o primitku donacija za financiranje redovite godišnje političke aktivnosti sastavlja se na Obrascu          EV-D-RPA, a potvrda o primitku donacija na Obrascu       POT-D-RPA.</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Evidencija o donacijama koje su uplaćene u državni proračun sastavlja se na Obrascu EV-D-RPA </a:t>
          </a:r>
          <a:r>
            <a:rPr lang="hr-HR" sz="1200" kern="1200">
              <a:solidFill>
                <a:srgbClr val="002060"/>
              </a:solidFill>
              <a:latin typeface="Arial" panose="020B0604020202020204" pitchFamily="34" charset="0"/>
              <a:cs typeface="Arial" panose="020B0604020202020204" pitchFamily="34" charset="0"/>
              <a:sym typeface="Symbol" panose="05050102010706020507" pitchFamily="18" charset="2"/>
            </a:rPr>
            <a:t></a:t>
          </a:r>
          <a:r>
            <a:rPr lang="hr-HR" sz="1200" kern="1200">
              <a:solidFill>
                <a:srgbClr val="002060"/>
              </a:solidFill>
              <a:latin typeface="Arial" panose="020B0604020202020204" pitchFamily="34" charset="0"/>
              <a:cs typeface="Arial" panose="020B0604020202020204" pitchFamily="34" charset="0"/>
            </a:rPr>
            <a:t> pov DP.</a:t>
          </a:r>
        </a:p>
      </dsp:txBody>
      <dsp:txXfrm>
        <a:off x="221920" y="310554"/>
        <a:ext cx="5261800" cy="3810661"/>
      </dsp:txXfrm>
    </dsp:sp>
    <dsp:sp modelId="{D4331FE3-9720-4BC1-9CD1-0F1C43E5470F}">
      <dsp:nvSpPr>
        <dsp:cNvPr id="0" name=""/>
        <dsp:cNvSpPr/>
      </dsp:nvSpPr>
      <dsp:spPr>
        <a:xfrm>
          <a:off x="0" y="1182098"/>
          <a:ext cx="1151018" cy="1726528"/>
        </a:xfrm>
        <a:prstGeom prst="rect">
          <a:avLst/>
        </a:prstGeom>
        <a:solidFill>
          <a:schemeClr val="accent1">
            <a:tint val="50000"/>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BA034D4-8123-4441-BD48-C596E092F467}">
      <dsp:nvSpPr>
        <dsp:cNvPr id="0" name=""/>
        <dsp:cNvSpPr/>
      </dsp:nvSpPr>
      <dsp:spPr>
        <a:xfrm>
          <a:off x="224599" y="4349421"/>
          <a:ext cx="5261800" cy="2333296"/>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3748" tIns="45720" rIns="45720" bIns="45720" numCol="1" spcCol="1270" anchor="ctr" anchorCtr="0">
          <a:noAutofit/>
        </a:bodyPr>
        <a:lstStyle/>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Prema odredbama članaka 4. i 5. Pravilnika o načinu vođenja evidencija, izdavanja potvrda te unosa izvješća o financiranju političkih aktivnosti, izborne promidžbe i referenduma u informacijski sustav za nadzor financiranja, političke stranke, nezavisni zastupnici i nezavisni vijećnici dužni su sastaviti i</a:t>
          </a:r>
          <a:r>
            <a:rPr lang="hr-HR" sz="1200" b="1" kern="1200">
              <a:solidFill>
                <a:srgbClr val="002060"/>
              </a:solidFill>
              <a:latin typeface="Arial" panose="020B0604020202020204" pitchFamily="34" charset="0"/>
              <a:cs typeface="Arial" panose="020B0604020202020204" pitchFamily="34" charset="0"/>
            </a:rPr>
            <a:t>zvješće o donacijama za financiranje redovne političke aktivnosti. </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Spomenuto izvješće sastavlja se na </a:t>
          </a:r>
          <a:r>
            <a:rPr lang="hr-HR" sz="1200" b="1" kern="1200">
              <a:solidFill>
                <a:srgbClr val="002060"/>
              </a:solidFill>
              <a:latin typeface="Arial" panose="020B0604020202020204" pitchFamily="34" charset="0"/>
              <a:cs typeface="Arial" panose="020B0604020202020204" pitchFamily="34" charset="0"/>
            </a:rPr>
            <a:t>Obrascu IZ-D-RPA</a:t>
          </a:r>
          <a:r>
            <a:rPr lang="hr-HR" sz="1200" kern="1200">
              <a:solidFill>
                <a:srgbClr val="002060"/>
              </a:solidFill>
              <a:latin typeface="Arial" panose="020B0604020202020204" pitchFamily="34" charset="0"/>
              <a:cs typeface="Arial" panose="020B0604020202020204" pitchFamily="34" charset="0"/>
            </a:rPr>
            <a:t>, koji je sastavni dio Pravilnika (u prilogu). </a:t>
          </a:r>
        </a:p>
        <a:p>
          <a:pPr lvl="0" algn="just" defTabSz="533400">
            <a:lnSpc>
              <a:spcPct val="90000"/>
            </a:lnSpc>
            <a:spcBef>
              <a:spcPct val="0"/>
            </a:spcBef>
            <a:spcAft>
              <a:spcPts val="0"/>
            </a:spcAft>
          </a:pPr>
          <a:endParaRPr lang="hr-HR" sz="1200" kern="1200">
            <a:solidFill>
              <a:srgbClr val="002060"/>
            </a:solidFill>
            <a:latin typeface="Arial" panose="020B0604020202020204" pitchFamily="34" charset="0"/>
            <a:cs typeface="Arial" panose="020B0604020202020204" pitchFamily="34" charset="0"/>
          </a:endParaRPr>
        </a:p>
        <a:p>
          <a:pPr lvl="0" algn="just" defTabSz="533400">
            <a:lnSpc>
              <a:spcPct val="90000"/>
            </a:lnSpc>
            <a:spcBef>
              <a:spcPct val="0"/>
            </a:spcBef>
            <a:spcAft>
              <a:spcPct val="35000"/>
            </a:spcAft>
          </a:pPr>
          <a:endParaRPr lang="hr-HR" sz="1200" kern="1200">
            <a:solidFill>
              <a:srgbClr val="002060"/>
            </a:solidFill>
            <a:latin typeface="Arial" panose="020B0604020202020204" pitchFamily="34" charset="0"/>
            <a:cs typeface="Arial" panose="020B0604020202020204" pitchFamily="34" charset="0"/>
          </a:endParaRPr>
        </a:p>
      </dsp:txBody>
      <dsp:txXfrm>
        <a:off x="224599" y="4349421"/>
        <a:ext cx="5261800" cy="2333296"/>
      </dsp:txXfrm>
    </dsp:sp>
    <dsp:sp modelId="{B679639D-1318-4697-AC2A-A262ED1AE8DC}">
      <dsp:nvSpPr>
        <dsp:cNvPr id="0" name=""/>
        <dsp:cNvSpPr/>
      </dsp:nvSpPr>
      <dsp:spPr>
        <a:xfrm>
          <a:off x="0" y="4639601"/>
          <a:ext cx="1151018" cy="1726528"/>
        </a:xfrm>
        <a:prstGeom prst="rect">
          <a:avLst/>
        </a:prstGeom>
        <a:solidFill>
          <a:schemeClr val="accent1">
            <a:tint val="50000"/>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26C0B-4619-4376-915D-29240076FC36}">
      <dsp:nvSpPr>
        <dsp:cNvPr id="0" name=""/>
        <dsp:cNvSpPr/>
      </dsp:nvSpPr>
      <dsp:spPr>
        <a:xfrm>
          <a:off x="221920" y="358710"/>
          <a:ext cx="5261800" cy="4147877"/>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3748" tIns="45720" rIns="45720" bIns="45720" numCol="1" spcCol="1270" anchor="ctr" anchorCtr="0">
          <a:noAutofit/>
        </a:bodyPr>
        <a:lstStyle/>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Prema odredbi članka 52. Zakona o financiranju političkih aktivnosti, izborne promidžbe i referenduma, izvješće o donacijama primljenima tijekom godine sa specificiranim podacima o fizičkim i pravnim osobama koje su dale donacije (</a:t>
          </a:r>
          <a:r>
            <a:rPr lang="hr-HR" sz="1200" i="1" kern="1200">
              <a:solidFill>
                <a:srgbClr val="002060"/>
              </a:solidFill>
              <a:latin typeface="Arial" panose="020B0604020202020204" pitchFamily="34" charset="0"/>
              <a:cs typeface="Arial" panose="020B0604020202020204" pitchFamily="34" charset="0"/>
            </a:rPr>
            <a:t>osobno ime odnosno naziv i adresa te osobni identifikacijski broj</a:t>
          </a:r>
          <a:r>
            <a:rPr lang="hr-HR" sz="1200" kern="1200">
              <a:solidFill>
                <a:srgbClr val="002060"/>
              </a:solidFill>
              <a:latin typeface="Arial" panose="020B0604020202020204" pitchFamily="34" charset="0"/>
              <a:cs typeface="Arial" panose="020B0604020202020204" pitchFamily="34" charset="0"/>
            </a:rPr>
            <a:t>), datumu uplate donacije odnosno davanja proizvoda ili pružanja usluga bez naplate, o uplaćenom iznosu donacije odnosno tržišnoj vrijednosti darovanog proizvoda ili usluge naznačenoj na potvrdi te o vrsti svake pojedine donacije </a:t>
          </a:r>
          <a:r>
            <a:rPr lang="hr-HR" sz="1200" b="1" kern="1200">
              <a:solidFill>
                <a:srgbClr val="002060"/>
              </a:solidFill>
              <a:latin typeface="Arial" panose="020B0604020202020204" pitchFamily="34" charset="0"/>
              <a:cs typeface="Arial" panose="020B0604020202020204" pitchFamily="34" charset="0"/>
            </a:rPr>
            <a:t>sastavni je dio godišnjih financijskih izvještaja, a političke stranke, nezavisni zastupnici i nezavisni vijećnici dužni su ih priložiti, unosom u informacijski sustav za nadzor financiranja.</a:t>
          </a:r>
          <a:r>
            <a:rPr lang="hr-HR" sz="1200" kern="1200">
              <a:solidFill>
                <a:srgbClr val="002060"/>
              </a:solidFill>
              <a:latin typeface="Arial" panose="020B0604020202020204" pitchFamily="34" charset="0"/>
              <a:cs typeface="Arial" panose="020B0604020202020204" pitchFamily="34" charset="0"/>
            </a:rPr>
            <a:t> </a:t>
          </a:r>
        </a:p>
        <a:p>
          <a:pPr lvl="0" algn="just" defTabSz="533400">
            <a:lnSpc>
              <a:spcPct val="100000"/>
            </a:lnSpc>
            <a:spcBef>
              <a:spcPct val="0"/>
            </a:spcBef>
            <a:spcAft>
              <a:spcPts val="0"/>
            </a:spcAft>
          </a:pPr>
          <a:endParaRPr lang="hr-HR" sz="1200" kern="1200">
            <a:solidFill>
              <a:srgbClr val="002060"/>
            </a:solidFill>
            <a:latin typeface="Arial" panose="020B0604020202020204" pitchFamily="34" charset="0"/>
            <a:cs typeface="Arial" panose="020B0604020202020204" pitchFamily="34" charset="0"/>
          </a:endParaRP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Prema odredbama istog članka spomenutog Zakona, političke stranke, nezavisni zastupnici i nezavisni vijećnici dužni su sastavljati financijski izvještaj na način koji je prema propisima o vođenju računovodstva neprofitnih organizacija propisan za neprofitne organizacije koje vode dvojno odnosno jednostavno knjigovodstvo, ovisno o vrijednosti imovine i visini ostvarenih prihoda u godini koja prethodi godini za koju se sastavljanju financijski izvještaji. </a:t>
          </a:r>
        </a:p>
      </dsp:txBody>
      <dsp:txXfrm>
        <a:off x="221920" y="358710"/>
        <a:ext cx="5261800" cy="4147877"/>
      </dsp:txXfrm>
    </dsp:sp>
    <dsp:sp modelId="{D4331FE3-9720-4BC1-9CD1-0F1C43E5470F}">
      <dsp:nvSpPr>
        <dsp:cNvPr id="0" name=""/>
        <dsp:cNvSpPr/>
      </dsp:nvSpPr>
      <dsp:spPr>
        <a:xfrm>
          <a:off x="2678" y="1372980"/>
          <a:ext cx="1151018" cy="1726528"/>
        </a:xfrm>
        <a:prstGeom prst="rect">
          <a:avLst/>
        </a:prstGeom>
        <a:solidFill>
          <a:schemeClr val="accent1">
            <a:tint val="50000"/>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26C0B-4619-4376-915D-29240076FC36}">
      <dsp:nvSpPr>
        <dsp:cNvPr id="0" name=""/>
        <dsp:cNvSpPr/>
      </dsp:nvSpPr>
      <dsp:spPr>
        <a:xfrm>
          <a:off x="221920" y="301400"/>
          <a:ext cx="5261800" cy="5530579"/>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3748" tIns="45720" rIns="45720" bIns="45720" numCol="1" spcCol="1270" anchor="ctr" anchorCtr="0">
          <a:noAutofit/>
        </a:bodyPr>
        <a:lstStyle/>
        <a:p>
          <a:pPr lvl="0" algn="just" defTabSz="533400">
            <a:lnSpc>
              <a:spcPct val="100000"/>
            </a:lnSpc>
            <a:spcBef>
              <a:spcPct val="0"/>
            </a:spcBef>
            <a:spcAft>
              <a:spcPts val="0"/>
            </a:spcAft>
          </a:pPr>
          <a:r>
            <a:rPr lang="hr-HR" sz="1200" b="1" kern="1200">
              <a:solidFill>
                <a:srgbClr val="002060"/>
              </a:solidFill>
              <a:latin typeface="Arial" panose="020B0604020202020204" pitchFamily="34" charset="0"/>
              <a:cs typeface="Arial" panose="020B0604020202020204" pitchFamily="34" charset="0"/>
            </a:rPr>
            <a:t>Polugodišnje izvješće o donacijama</a:t>
          </a:r>
          <a:r>
            <a:rPr lang="hr-HR" sz="1200" kern="1200">
              <a:solidFill>
                <a:srgbClr val="002060"/>
              </a:solidFill>
              <a:latin typeface="Arial" panose="020B0604020202020204" pitchFamily="34" charset="0"/>
              <a:cs typeface="Arial" panose="020B0604020202020204" pitchFamily="34" charset="0"/>
            </a:rPr>
            <a:t>, osim Pravilnikom o načinu vođenja evidencija, izdavanja potvrda te unosa izvješća o financiranju političkih aktivnosti, izborne promidžbe i referenduma u informacijski sustav za nadzor financiranja,</a:t>
          </a:r>
          <a:r>
            <a:rPr lang="hr-HR" sz="1200" b="1" kern="1200">
              <a:solidFill>
                <a:srgbClr val="002060"/>
              </a:solidFill>
              <a:latin typeface="Arial" panose="020B0604020202020204" pitchFamily="34" charset="0"/>
              <a:cs typeface="Arial" panose="020B0604020202020204" pitchFamily="34" charset="0"/>
            </a:rPr>
            <a:t> </a:t>
          </a:r>
          <a:r>
            <a:rPr lang="hr-HR" sz="1200" kern="1200">
              <a:solidFill>
                <a:srgbClr val="002060"/>
              </a:solidFill>
              <a:latin typeface="Arial" panose="020B0604020202020204" pitchFamily="34" charset="0"/>
              <a:cs typeface="Arial" panose="020B0604020202020204" pitchFamily="34" charset="0"/>
            </a:rPr>
            <a:t>propisano je i odredbama članka 21. Zakona o financiranju političkih aktivnosti, izborne promidžbe i referenduma. </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Političke stranke, nezavisni zastupnici i nezavisni vijećnici koji su u prvih šest mjeseci tekuće godine primili donacije dužni su, sukladno članku 21., stavku 1. Zakona o financiranju političkih aktivnosti, izborne promidžbe i referenduma, najkasnije do 15. srpnja tekuće godine dostaviti Državnom izbornom povjerenstvu, unosom u informacijski sustav za nadzor financiranja, izvješće o donacijama koje su, za potporu svoga političkog djelovanja, primili u prvih šest mjeseci tekuće godine (</a:t>
          </a:r>
          <a:r>
            <a:rPr lang="hr-HR" sz="1200" b="1" kern="1200">
              <a:solidFill>
                <a:srgbClr val="002060"/>
              </a:solidFill>
              <a:latin typeface="Arial" panose="020B0604020202020204" pitchFamily="34" charset="0"/>
              <a:cs typeface="Arial" panose="020B0604020202020204" pitchFamily="34" charset="0"/>
            </a:rPr>
            <a:t>polugodišnje izvješće</a:t>
          </a:r>
          <a:r>
            <a:rPr lang="hr-HR" sz="1200" kern="1200">
              <a:solidFill>
                <a:srgbClr val="002060"/>
              </a:solidFill>
              <a:latin typeface="Arial" panose="020B0604020202020204" pitchFamily="34" charset="0"/>
              <a:cs typeface="Arial" panose="020B0604020202020204" pitchFamily="34" charset="0"/>
            </a:rPr>
            <a:t>). Političke stranke, nezavisni zastupnici i nezavisni vijećnici koji u prvih šest mjeseci tekuće godine nisu primili donacije dužni su u istom roku dostaviti Državnom izbornom povjerenstvu, unosom u informacijski sustav za nadzor financiranja, obavijest da u navedenom razdoblju nisu primili donacije.</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Državno izborno povjerenstvo će na svojim mrežnim stranicama objaviti navedeno izvješće/obavijest prvog radnog dana nakon njihove dostave, a podaci o adresi donatora fizičke osobe se ne objavljuju. Objava traje do objave godišnjeg financijskog izvještaja za kalendarsku godinu na koju se odnosi polugodišnje izvješće o donacijama.</a:t>
          </a:r>
        </a:p>
      </dsp:txBody>
      <dsp:txXfrm>
        <a:off x="221920" y="301400"/>
        <a:ext cx="5261800" cy="5530579"/>
      </dsp:txXfrm>
    </dsp:sp>
    <dsp:sp modelId="{D4331FE3-9720-4BC1-9CD1-0F1C43E5470F}">
      <dsp:nvSpPr>
        <dsp:cNvPr id="0" name=""/>
        <dsp:cNvSpPr/>
      </dsp:nvSpPr>
      <dsp:spPr>
        <a:xfrm>
          <a:off x="2678" y="2007022"/>
          <a:ext cx="1151018" cy="1726528"/>
        </a:xfrm>
        <a:prstGeom prst="rect">
          <a:avLst/>
        </a:prstGeom>
        <a:solidFill>
          <a:schemeClr val="accent1">
            <a:tint val="50000"/>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09EB-5D82-48F2-829A-6DB13318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187</Words>
  <Characters>1072</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martinko</dc:creator>
  <cp:lastModifiedBy>Sandra Pavlovic</cp:lastModifiedBy>
  <cp:revision>7</cp:revision>
  <cp:lastPrinted>2016-01-18T10:03:00Z</cp:lastPrinted>
  <dcterms:created xsi:type="dcterms:W3CDTF">2023-01-17T19:55:00Z</dcterms:created>
  <dcterms:modified xsi:type="dcterms:W3CDTF">2023-01-18T13:02:00Z</dcterms:modified>
</cp:coreProperties>
</file>