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A1" w:rsidRDefault="00BF6BA1" w:rsidP="00BF6BA1">
      <w:pPr>
        <w:rPr>
          <w:rFonts w:cs="Arial"/>
          <w:bCs/>
        </w:rPr>
      </w:pPr>
      <w:r>
        <w:rPr>
          <w:sz w:val="20"/>
        </w:rPr>
        <w:t xml:space="preserve">                  </w:t>
      </w:r>
      <w:r w:rsidR="00CF0CC7" w:rsidRPr="00A214DF">
        <w:rPr>
          <w:noProof/>
          <w:sz w:val="20"/>
          <w:lang w:eastAsia="hr-HR"/>
        </w:rPr>
        <w:drawing>
          <wp:inline distT="0" distB="0" distL="0" distR="0">
            <wp:extent cx="467995" cy="804545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A1" w:rsidRPr="000564EF" w:rsidRDefault="00BF6BA1" w:rsidP="00BF6BA1">
      <w:pPr>
        <w:rPr>
          <w:rFonts w:cs="Arial"/>
          <w:bCs/>
        </w:rPr>
      </w:pPr>
      <w:r w:rsidRPr="000564EF">
        <w:rPr>
          <w:rFonts w:cs="Arial"/>
          <w:bCs/>
        </w:rPr>
        <w:t>REPUBLIKA HRVATSKA</w:t>
      </w:r>
    </w:p>
    <w:p w:rsidR="00BF6BA1" w:rsidRPr="00462F5A" w:rsidRDefault="00BF6BA1" w:rsidP="00D8117A">
      <w:pPr>
        <w:pBdr>
          <w:bottom w:val="single" w:sz="4" w:space="1" w:color="auto"/>
        </w:pBdr>
        <w:rPr>
          <w:rFonts w:cs="Arial"/>
        </w:rPr>
      </w:pPr>
      <w:r w:rsidRPr="00E57C3C">
        <w:rPr>
          <w:rFonts w:cs="Arial"/>
          <w:bCs/>
          <w:szCs w:val="20"/>
        </w:rPr>
        <w:t>DRŽAVNI URED ZA REVIZIJU</w:t>
      </w:r>
    </w:p>
    <w:p w:rsidR="00BF6BA1" w:rsidRPr="00E57C3C" w:rsidRDefault="00BF6BA1" w:rsidP="00BF6BA1">
      <w:pPr>
        <w:spacing w:line="19" w:lineRule="exact"/>
        <w:rPr>
          <w:rFonts w:cs="Arial"/>
          <w:iCs/>
        </w:rPr>
      </w:pPr>
    </w:p>
    <w:p w:rsidR="00BF4C52" w:rsidRPr="0057023D" w:rsidRDefault="00BF4C52" w:rsidP="00BF4C52">
      <w:pPr>
        <w:rPr>
          <w:rFonts w:cs="Arial"/>
        </w:rPr>
      </w:pPr>
      <w:r w:rsidRPr="0057023D">
        <w:rPr>
          <w:rFonts w:cs="Arial"/>
        </w:rPr>
        <w:t>KLASA: 026-02/2</w:t>
      </w:r>
      <w:r w:rsidR="008417FE">
        <w:rPr>
          <w:rFonts w:cs="Arial"/>
        </w:rPr>
        <w:t>4</w:t>
      </w:r>
      <w:r w:rsidRPr="0057023D">
        <w:rPr>
          <w:rFonts w:cs="Arial"/>
        </w:rPr>
        <w:t>-01/</w:t>
      </w:r>
      <w:r w:rsidR="00CE6295">
        <w:rPr>
          <w:rFonts w:cs="Arial"/>
        </w:rPr>
        <w:t>3</w:t>
      </w:r>
    </w:p>
    <w:p w:rsidR="00BF4C52" w:rsidRPr="0057023D" w:rsidRDefault="00BF4C52" w:rsidP="00BF4C52">
      <w:pPr>
        <w:rPr>
          <w:rFonts w:cs="Arial"/>
        </w:rPr>
      </w:pPr>
      <w:r w:rsidRPr="0057023D">
        <w:rPr>
          <w:rFonts w:cs="Arial"/>
        </w:rPr>
        <w:t>URBROJ: 613-01-0</w:t>
      </w:r>
      <w:r w:rsidR="001A603F">
        <w:rPr>
          <w:rFonts w:cs="Arial"/>
        </w:rPr>
        <w:t>1</w:t>
      </w:r>
      <w:bookmarkStart w:id="0" w:name="_GoBack"/>
      <w:bookmarkEnd w:id="0"/>
      <w:r w:rsidRPr="0057023D">
        <w:rPr>
          <w:rFonts w:cs="Arial"/>
        </w:rPr>
        <w:t>-2</w:t>
      </w:r>
      <w:r w:rsidR="009738C3">
        <w:rPr>
          <w:rFonts w:cs="Arial"/>
        </w:rPr>
        <w:t>4</w:t>
      </w:r>
      <w:r w:rsidRPr="0057023D">
        <w:rPr>
          <w:rFonts w:cs="Arial"/>
        </w:rPr>
        <w:t>-</w:t>
      </w:r>
      <w:r w:rsidR="00DC60F3">
        <w:rPr>
          <w:rFonts w:cs="Arial"/>
        </w:rPr>
        <w:t>1</w:t>
      </w:r>
    </w:p>
    <w:p w:rsidR="0052385A" w:rsidRDefault="0052385A" w:rsidP="0051014C">
      <w:pPr>
        <w:rPr>
          <w:rFonts w:cs="Arial"/>
        </w:rPr>
      </w:pPr>
    </w:p>
    <w:p w:rsidR="00D8117A" w:rsidRDefault="000356B3" w:rsidP="00D8117A">
      <w:pPr>
        <w:rPr>
          <w:rFonts w:cs="Arial"/>
        </w:rPr>
      </w:pPr>
      <w:r w:rsidRPr="005636C5">
        <w:rPr>
          <w:rFonts w:cs="Arial"/>
        </w:rPr>
        <w:t>Zagreb,</w:t>
      </w:r>
      <w:r w:rsidR="000D686A" w:rsidRPr="005636C5">
        <w:rPr>
          <w:rFonts w:cs="Arial"/>
        </w:rPr>
        <w:t xml:space="preserve"> </w:t>
      </w:r>
      <w:r w:rsidR="009738C3">
        <w:rPr>
          <w:rFonts w:cs="Arial"/>
        </w:rPr>
        <w:t>2</w:t>
      </w:r>
      <w:r w:rsidR="00551649">
        <w:rPr>
          <w:rFonts w:cs="Arial"/>
        </w:rPr>
        <w:t>4</w:t>
      </w:r>
      <w:r w:rsidR="000D686A" w:rsidRPr="005636C5">
        <w:rPr>
          <w:rFonts w:cs="Arial"/>
        </w:rPr>
        <w:t>.</w:t>
      </w:r>
      <w:r w:rsidR="000D686A">
        <w:rPr>
          <w:rFonts w:cs="Arial"/>
        </w:rPr>
        <w:t xml:space="preserve"> siječnja 20</w:t>
      </w:r>
      <w:r w:rsidR="009F090D">
        <w:rPr>
          <w:rFonts w:cs="Arial"/>
        </w:rPr>
        <w:t>2</w:t>
      </w:r>
      <w:r w:rsidR="009738C3">
        <w:rPr>
          <w:rFonts w:cs="Arial"/>
        </w:rPr>
        <w:t>4</w:t>
      </w:r>
      <w:r w:rsidR="000D686A">
        <w:rPr>
          <w:rFonts w:cs="Arial"/>
        </w:rPr>
        <w:t>.</w:t>
      </w:r>
      <w:r w:rsidR="00071043">
        <w:rPr>
          <w:rFonts w:cs="Arial"/>
        </w:rPr>
        <w:tab/>
      </w:r>
    </w:p>
    <w:p w:rsidR="00D8117A" w:rsidRDefault="00D8117A" w:rsidP="00D8117A">
      <w:pPr>
        <w:rPr>
          <w:rFonts w:cs="Arial"/>
        </w:rPr>
      </w:pPr>
    </w:p>
    <w:p w:rsidR="00663A63" w:rsidRDefault="00663A63" w:rsidP="00D8117A">
      <w:pPr>
        <w:rPr>
          <w:rFonts w:cs="Arial"/>
        </w:rPr>
      </w:pPr>
    </w:p>
    <w:p w:rsidR="009738C3" w:rsidRDefault="00D8117A" w:rsidP="0051014C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71043">
        <w:rPr>
          <w:rFonts w:cs="Arial"/>
        </w:rPr>
        <w:tab/>
      </w:r>
      <w:r w:rsidR="00071043">
        <w:rPr>
          <w:rFonts w:cs="Arial"/>
        </w:rPr>
        <w:tab/>
      </w:r>
      <w:r w:rsidR="00071043">
        <w:rPr>
          <w:rFonts w:cs="Arial"/>
        </w:rPr>
        <w:tab/>
      </w:r>
      <w:r w:rsidR="00071043">
        <w:rPr>
          <w:rFonts w:cs="Arial"/>
        </w:rPr>
        <w:tab/>
      </w:r>
      <w:r w:rsidR="009738C3">
        <w:rPr>
          <w:rFonts w:cs="Arial"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AFCAE" wp14:editId="315C6678">
                <wp:simplePos x="0" y="0"/>
                <wp:positionH relativeFrom="column">
                  <wp:posOffset>3810</wp:posOffset>
                </wp:positionH>
                <wp:positionV relativeFrom="paragraph">
                  <wp:posOffset>280670</wp:posOffset>
                </wp:positionV>
                <wp:extent cx="6073140" cy="1249680"/>
                <wp:effectExtent l="0" t="0" r="22860" b="26670"/>
                <wp:wrapSquare wrapText="bothSides"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2496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78CC" w:rsidRPr="001678CC" w:rsidRDefault="001678CC" w:rsidP="009738C3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8CC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OBAVIJEST </w:t>
                            </w:r>
                          </w:p>
                          <w:p w:rsidR="001678CC" w:rsidRPr="001678CC" w:rsidRDefault="001678CC" w:rsidP="009738C3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8CC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OBVEZNICIMA </w:t>
                            </w:r>
                            <w:r w:rsidR="00663A63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SASTAVLJANJA I </w:t>
                            </w:r>
                            <w:r w:rsidRPr="001678CC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PREDAJE FINANCIJSKIH IZVJEŠTAJA U SUSTAVU PRORAČUNA</w:t>
                            </w:r>
                          </w:p>
                          <w:p w:rsidR="009738C3" w:rsidRPr="001678CC" w:rsidRDefault="001678CC" w:rsidP="009738C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8CC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9738C3" w:rsidRPr="001678CC">
                              <w:rPr>
                                <w:rFonts w:cs="Arial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AFCAE" id="Zaobljeni pravokutnik 2" o:spid="_x0000_s1026" style="position:absolute;left:0;text-align:left;margin-left:.3pt;margin-top:22.1pt;width:478.2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" fillcolor="#deeaf6 [660]" strokecolor="#9cc2e5 [1940]" strokeweight="1pt">
                <v:stroke joinstyle="miter"/>
                <v:textbox>
                  <w:txbxContent>
                    <w:p w:rsidR="001678CC" w:rsidRPr="001678CC" w:rsidRDefault="001678CC" w:rsidP="009738C3">
                      <w:pPr>
                        <w:jc w:val="center"/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8CC"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OBAVIJEST </w:t>
                      </w:r>
                    </w:p>
                    <w:p w:rsidR="001678CC" w:rsidRPr="001678CC" w:rsidRDefault="001678CC" w:rsidP="009738C3">
                      <w:pPr>
                        <w:jc w:val="center"/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8CC"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OBVEZNICIMA </w:t>
                      </w:r>
                      <w:r w:rsidR="00663A63"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SASTAVLJANJA I </w:t>
                      </w:r>
                      <w:r w:rsidRPr="001678CC"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PREDAJE FINANCIJSKIH IZVJEŠTAJA U SUSTAVU PRORAČUNA</w:t>
                      </w:r>
                    </w:p>
                    <w:p w:rsidR="009738C3" w:rsidRPr="001678CC" w:rsidRDefault="001678CC" w:rsidP="009738C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78CC"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ZA </w:t>
                      </w:r>
                      <w:r w:rsidR="009738C3" w:rsidRPr="001678CC">
                        <w:rPr>
                          <w:rFonts w:cs="Arial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9738C3" w:rsidRDefault="009738C3" w:rsidP="0051014C">
      <w:pPr>
        <w:rPr>
          <w:rFonts w:cs="Arial"/>
        </w:rPr>
      </w:pPr>
    </w:p>
    <w:p w:rsidR="00663A63" w:rsidRDefault="00663A63" w:rsidP="00423366">
      <w:pPr>
        <w:ind w:firstLine="567"/>
      </w:pPr>
    </w:p>
    <w:p w:rsidR="00423366" w:rsidRDefault="00423366" w:rsidP="00423366">
      <w:pPr>
        <w:ind w:firstLine="567"/>
      </w:pPr>
      <w:r>
        <w:t xml:space="preserve">Jedinice lokalne i područne (regionalne) samouprave, proračunski i izvanproračunski korisnici državnog proračuna i jedinica lokalne i područne (regionalne) samouprave predaju financijske izvještaje za 2023. u rokovima propisanim </w:t>
      </w:r>
      <w:r w:rsidRPr="00423366">
        <w:rPr>
          <w:b/>
        </w:rPr>
        <w:t>Pravilnikom o financijskom izvještavanju u proračunskom računovodstvu</w:t>
      </w:r>
      <w:r>
        <w:t xml:space="preserve"> (Narodne novine 37/22). </w:t>
      </w:r>
    </w:p>
    <w:p w:rsidR="00423366" w:rsidRDefault="00423366" w:rsidP="00423366">
      <w:pPr>
        <w:ind w:firstLine="708"/>
      </w:pPr>
    </w:p>
    <w:p w:rsidR="002468D1" w:rsidRDefault="002468D1" w:rsidP="00A51212">
      <w:pPr>
        <w:ind w:firstLine="567"/>
      </w:pPr>
      <w:r w:rsidRPr="00BA0130">
        <w:rPr>
          <w:b/>
          <w:i/>
        </w:rPr>
        <w:t>Rokovi predaje financijskih izvještaja</w:t>
      </w:r>
      <w:r>
        <w:t xml:space="preserve"> za razdoblje od 1. siječnja do 31. prosinca 2023. jesu:</w:t>
      </w:r>
    </w:p>
    <w:p w:rsidR="002468D1" w:rsidRPr="002468D1" w:rsidRDefault="002468D1" w:rsidP="00A34D23">
      <w:pPr>
        <w:pStyle w:val="Odlomakpopisa"/>
        <w:numPr>
          <w:ilvl w:val="0"/>
          <w:numId w:val="17"/>
        </w:numPr>
      </w:pPr>
      <w:r>
        <w:t xml:space="preserve">za proračunske korisnike državnog proračuna i proračunske korisnike jedinica lokalne i područne (regionalne) samouprave </w:t>
      </w:r>
      <w:r w:rsidRPr="00A34D23">
        <w:rPr>
          <w:b/>
        </w:rPr>
        <w:t>31. siječnja 2024.</w:t>
      </w:r>
    </w:p>
    <w:p w:rsidR="002468D1" w:rsidRPr="002468D1" w:rsidRDefault="002468D1" w:rsidP="00A34D23">
      <w:pPr>
        <w:pStyle w:val="Odlomakpopisa"/>
        <w:numPr>
          <w:ilvl w:val="0"/>
          <w:numId w:val="17"/>
        </w:numPr>
      </w:pPr>
      <w:r w:rsidRPr="002468D1">
        <w:t xml:space="preserve">za </w:t>
      </w:r>
      <w:r>
        <w:t xml:space="preserve">jedinice lokalne i područne (regionalne) samouprave i izvanproračunske korisnike državnog proračuna i jedinica lokalne i područne (regionalne) samouprave </w:t>
      </w:r>
      <w:r w:rsidRPr="00A34D23">
        <w:rPr>
          <w:b/>
        </w:rPr>
        <w:t>15. veljače 2024.</w:t>
      </w:r>
    </w:p>
    <w:p w:rsidR="002468D1" w:rsidRPr="00BA0130" w:rsidRDefault="002468D1" w:rsidP="00A34D23">
      <w:pPr>
        <w:pStyle w:val="Odlomakpopisa"/>
        <w:numPr>
          <w:ilvl w:val="0"/>
          <w:numId w:val="17"/>
        </w:numPr>
      </w:pPr>
      <w:r>
        <w:t xml:space="preserve">za konsolidirane financijske izvještaje razdjela državnog proračuna i jedinica lokalne i područne (regionalne) samouprave </w:t>
      </w:r>
      <w:r w:rsidRPr="00A34D23">
        <w:rPr>
          <w:b/>
        </w:rPr>
        <w:t>28. veljače 2024.</w:t>
      </w:r>
    </w:p>
    <w:p w:rsidR="00BA0130" w:rsidRDefault="00BA0130" w:rsidP="00BA0130">
      <w:pPr>
        <w:pStyle w:val="Odlomakpopisa"/>
        <w:ind w:left="927"/>
        <w:jc w:val="both"/>
        <w:rPr>
          <w:b/>
        </w:rPr>
      </w:pPr>
    </w:p>
    <w:p w:rsidR="00BA0130" w:rsidRDefault="00BA0130" w:rsidP="00BA0130">
      <w:pPr>
        <w:ind w:firstLine="567"/>
      </w:pPr>
      <w:r w:rsidRPr="00BA0130">
        <w:rPr>
          <w:b/>
          <w:i/>
        </w:rPr>
        <w:t>Financijski izvještaji</w:t>
      </w:r>
      <w:r>
        <w:t xml:space="preserve"> koji se sastavljaju za razdoblje od 1. siječnja do 31. prosinca 2023. jesu:</w:t>
      </w:r>
    </w:p>
    <w:p w:rsidR="00BA0130" w:rsidRDefault="00BA0130" w:rsidP="000A4E8D">
      <w:pPr>
        <w:pStyle w:val="Odlomakpopisa"/>
        <w:numPr>
          <w:ilvl w:val="0"/>
          <w:numId w:val="17"/>
        </w:numPr>
      </w:pPr>
      <w:r>
        <w:t>Bilanca na obrascu BIL</w:t>
      </w:r>
    </w:p>
    <w:p w:rsidR="00BA0130" w:rsidRDefault="00BA0130" w:rsidP="000A4E8D">
      <w:pPr>
        <w:pStyle w:val="Odlomakpopisa"/>
        <w:numPr>
          <w:ilvl w:val="0"/>
          <w:numId w:val="17"/>
        </w:numPr>
      </w:pPr>
      <w:r>
        <w:t>Izvještaj o prihodima i rashodima, primicima i izdacima na obrascu PR-RAS</w:t>
      </w:r>
    </w:p>
    <w:p w:rsidR="00BA0130" w:rsidRDefault="00BA0130" w:rsidP="000A4E8D">
      <w:pPr>
        <w:pStyle w:val="Odlomakpopisa"/>
        <w:numPr>
          <w:ilvl w:val="0"/>
          <w:numId w:val="17"/>
        </w:numPr>
      </w:pPr>
      <w:r>
        <w:t>Izvještaj o rashodima prema funkcijskoj klasifikaciji na obrascu RAS-funkcijski</w:t>
      </w:r>
    </w:p>
    <w:p w:rsidR="00BA0130" w:rsidRDefault="00BA0130" w:rsidP="000A4E8D">
      <w:pPr>
        <w:pStyle w:val="Odlomakpopisa"/>
        <w:numPr>
          <w:ilvl w:val="0"/>
          <w:numId w:val="17"/>
        </w:numPr>
      </w:pPr>
      <w:r>
        <w:t xml:space="preserve">Izvještaj o obvezama na obrascu OBVEZE </w:t>
      </w:r>
    </w:p>
    <w:p w:rsidR="00BA0130" w:rsidRDefault="00BA0130" w:rsidP="000A4E8D">
      <w:pPr>
        <w:pStyle w:val="Odlomakpopisa"/>
        <w:numPr>
          <w:ilvl w:val="0"/>
          <w:numId w:val="17"/>
        </w:numPr>
      </w:pPr>
      <w:r>
        <w:t xml:space="preserve">Izvještaj o promjenama u vrijednosti i obujmu imovine i obveza na obrascu </w:t>
      </w:r>
    </w:p>
    <w:p w:rsidR="00BA0130" w:rsidRDefault="00BA0130" w:rsidP="00BA0130">
      <w:pPr>
        <w:pStyle w:val="Odlomakpopisa"/>
        <w:ind w:left="927"/>
      </w:pPr>
      <w:r>
        <w:t>P-VRIO</w:t>
      </w:r>
    </w:p>
    <w:p w:rsidR="00BA0130" w:rsidRDefault="00BA0130" w:rsidP="000A4E8D">
      <w:pPr>
        <w:pStyle w:val="Odlomakpopisa"/>
        <w:numPr>
          <w:ilvl w:val="0"/>
          <w:numId w:val="17"/>
        </w:numPr>
      </w:pPr>
      <w:r>
        <w:t>Bilješke uz financijske izvještaje.</w:t>
      </w:r>
    </w:p>
    <w:p w:rsidR="00BA0130" w:rsidRPr="002468D1" w:rsidRDefault="00BA0130" w:rsidP="00BA0130">
      <w:pPr>
        <w:pStyle w:val="Odlomakpopisa"/>
        <w:ind w:left="927"/>
        <w:jc w:val="both"/>
      </w:pPr>
    </w:p>
    <w:p w:rsidR="002468D1" w:rsidRDefault="00F64975" w:rsidP="00A51212">
      <w:pPr>
        <w:ind w:firstLine="567"/>
      </w:pPr>
      <w:r>
        <w:t>Novčani iznosi u financijskim izvještajima za 2023. unose se u eurima i centima.</w:t>
      </w:r>
    </w:p>
    <w:p w:rsidR="00F64975" w:rsidRDefault="00F64975" w:rsidP="00A51212">
      <w:pPr>
        <w:ind w:firstLine="567"/>
      </w:pPr>
    </w:p>
    <w:p w:rsidR="00BC4DCD" w:rsidRDefault="00BC4DCD" w:rsidP="00A51212">
      <w:pPr>
        <w:ind w:firstLine="567"/>
      </w:pPr>
    </w:p>
    <w:p w:rsidR="00423366" w:rsidRDefault="00423366" w:rsidP="00A51212">
      <w:pPr>
        <w:ind w:firstLine="567"/>
      </w:pPr>
    </w:p>
    <w:p w:rsidR="00423366" w:rsidRDefault="00423366" w:rsidP="00F64975">
      <w:pPr>
        <w:ind w:firstLine="567"/>
      </w:pPr>
      <w:r>
        <w:rPr>
          <w:rFonts w:cs="Arial"/>
          <w:bCs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4C963" wp14:editId="527ED911">
                <wp:simplePos x="0" y="0"/>
                <wp:positionH relativeFrom="column">
                  <wp:posOffset>-3810</wp:posOffset>
                </wp:positionH>
                <wp:positionV relativeFrom="paragraph">
                  <wp:posOffset>163830</wp:posOffset>
                </wp:positionV>
                <wp:extent cx="6073140" cy="2225040"/>
                <wp:effectExtent l="0" t="0" r="22860" b="22860"/>
                <wp:wrapSquare wrapText="bothSides"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222504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3366" w:rsidRPr="00663A63" w:rsidRDefault="00663A63" w:rsidP="00423366">
                            <w:pPr>
                              <w:ind w:firstLine="567"/>
                              <w:rPr>
                                <w:rFonts w:cs="Arial"/>
                              </w:rPr>
                            </w:pPr>
                            <w:r>
                              <w:t>Obveznici sastavljanja financijskih izvještaja</w:t>
                            </w:r>
                            <w:r w:rsidR="000A4E8D">
                              <w:t xml:space="preserve"> predaju financijske izvještaje</w:t>
                            </w:r>
                            <w:r w:rsidR="00632E0A">
                              <w:t xml:space="preserve"> za 2023. </w:t>
                            </w:r>
                            <w:r w:rsidRPr="00663A63">
                              <w:rPr>
                                <w:b/>
                              </w:rPr>
                              <w:t>Ministarstvu financija</w:t>
                            </w:r>
                            <w:r>
                              <w:t xml:space="preserve"> </w:t>
                            </w:r>
                            <w:r w:rsidR="00423366" w:rsidRPr="00663A63">
                              <w:rPr>
                                <w:rFonts w:cs="Arial"/>
                              </w:rPr>
                              <w:t>u elektroničkom obliku putem aplikacije Financijsko izvještavanje u sustavu proračuna i Registar proračunskih i izvanproračunskih korisnika (aplikacija RKPFI).</w:t>
                            </w:r>
                          </w:p>
                          <w:p w:rsidR="00423366" w:rsidRPr="00663A63" w:rsidRDefault="00423366" w:rsidP="00423366">
                            <w:pPr>
                              <w:ind w:firstLine="567"/>
                              <w:rPr>
                                <w:rFonts w:cs="Arial"/>
                              </w:rPr>
                            </w:pPr>
                          </w:p>
                          <w:p w:rsidR="00663A63" w:rsidRPr="00663A63" w:rsidRDefault="00663A63" w:rsidP="00663A63">
                            <w:pPr>
                              <w:ind w:firstLine="567"/>
                              <w:rPr>
                                <w:rFonts w:cs="Arial"/>
                              </w:rPr>
                            </w:pPr>
                            <w:r w:rsidRPr="00663A63">
                              <w:rPr>
                                <w:rFonts w:cs="Arial"/>
                              </w:rPr>
                              <w:t xml:space="preserve">Financijski izvještaji predani putem aplikacije RKPFI smatraju se predanima i Državnom uredu za reviziju. Zbog navedenog, obveznici </w:t>
                            </w:r>
                            <w:r w:rsidR="00720011">
                              <w:rPr>
                                <w:rFonts w:cs="Arial"/>
                              </w:rPr>
                              <w:t xml:space="preserve">predaje financijskih izvještaja u sustavu proračuna </w:t>
                            </w:r>
                            <w:r w:rsidRPr="00663A63">
                              <w:rPr>
                                <w:rFonts w:cs="Arial"/>
                                <w:b/>
                              </w:rPr>
                              <w:t xml:space="preserve">nisu obvezni </w:t>
                            </w:r>
                            <w:r w:rsidR="00720011">
                              <w:rPr>
                                <w:rFonts w:cs="Arial"/>
                                <w:b/>
                              </w:rPr>
                              <w:t xml:space="preserve">financijske izvještaje za 2023. </w:t>
                            </w:r>
                            <w:r w:rsidRPr="00663A63">
                              <w:rPr>
                                <w:rFonts w:cs="Arial"/>
                                <w:b/>
                              </w:rPr>
                              <w:t>zasebno dostavljati Državnom uredu za reviziju.</w:t>
                            </w:r>
                            <w:r w:rsidRPr="00663A63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4C963" id="Zaobljeni pravokutnik 3" o:spid="_x0000_s1027" style="position:absolute;left:0;text-align:left;margin-left:-.3pt;margin-top:12.9pt;width:478.2pt;height:1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" fillcolor="#deebf7" strokecolor="#9dc3e6" strokeweight="1pt">
                <v:stroke joinstyle="miter"/>
                <v:textbox>
                  <w:txbxContent>
                    <w:p w:rsidR="00423366" w:rsidRPr="00663A63" w:rsidRDefault="00663A63" w:rsidP="00423366">
                      <w:pPr>
                        <w:ind w:firstLine="567"/>
                        <w:rPr>
                          <w:rFonts w:cs="Arial"/>
                        </w:rPr>
                      </w:pPr>
                      <w:r>
                        <w:t>Obveznici sastavljanja financijskih izvještaja</w:t>
                      </w:r>
                      <w:r w:rsidR="000A4E8D">
                        <w:t xml:space="preserve"> predaju financijske izvještaje</w:t>
                      </w:r>
                      <w:r w:rsidR="00632E0A">
                        <w:t xml:space="preserve"> za 2023. </w:t>
                      </w:r>
                      <w:r w:rsidRPr="00663A63">
                        <w:rPr>
                          <w:b/>
                        </w:rPr>
                        <w:t>Ministarstvu financija</w:t>
                      </w:r>
                      <w:r>
                        <w:t xml:space="preserve"> </w:t>
                      </w:r>
                      <w:r w:rsidR="00423366" w:rsidRPr="00663A63">
                        <w:rPr>
                          <w:rFonts w:cs="Arial"/>
                        </w:rPr>
                        <w:t>u elektroničkom obliku putem aplikacije Financijsko izvještavanje u sustavu proračuna i Registar proračunskih i izvanproračunskih korisnika (aplikacija RKPFI).</w:t>
                      </w:r>
                    </w:p>
                    <w:p w:rsidR="00423366" w:rsidRPr="00663A63" w:rsidRDefault="00423366" w:rsidP="00423366">
                      <w:pPr>
                        <w:ind w:firstLine="567"/>
                        <w:rPr>
                          <w:rFonts w:cs="Arial"/>
                        </w:rPr>
                      </w:pPr>
                    </w:p>
                    <w:p w:rsidR="00663A63" w:rsidRPr="00663A63" w:rsidRDefault="00663A63" w:rsidP="00663A63">
                      <w:pPr>
                        <w:ind w:firstLine="567"/>
                        <w:rPr>
                          <w:rFonts w:cs="Arial"/>
                        </w:rPr>
                      </w:pPr>
                      <w:r w:rsidRPr="00663A63">
                        <w:rPr>
                          <w:rFonts w:cs="Arial"/>
                        </w:rPr>
                        <w:t xml:space="preserve">Financijski izvještaji predani putem aplikacije RKPFI smatraju se predanima i Državnom uredu za reviziju. Zbog navedenog, obveznici </w:t>
                      </w:r>
                      <w:r w:rsidR="00720011">
                        <w:rPr>
                          <w:rFonts w:cs="Arial"/>
                        </w:rPr>
                        <w:t xml:space="preserve">predaje financijskih izvještaja u sustavu proračuna </w:t>
                      </w:r>
                      <w:r w:rsidRPr="00663A63">
                        <w:rPr>
                          <w:rFonts w:cs="Arial"/>
                          <w:b/>
                        </w:rPr>
                        <w:t xml:space="preserve">nisu obvezni </w:t>
                      </w:r>
                      <w:r w:rsidR="00720011">
                        <w:rPr>
                          <w:rFonts w:cs="Arial"/>
                          <w:b/>
                        </w:rPr>
                        <w:t xml:space="preserve">financijske izvještaje za 2023. </w:t>
                      </w:r>
                      <w:r w:rsidRPr="00663A63">
                        <w:rPr>
                          <w:rFonts w:cs="Arial"/>
                          <w:b/>
                        </w:rPr>
                        <w:t>zasebno dostavljati Državnom uredu za reviziju.</w:t>
                      </w:r>
                      <w:r w:rsidRPr="00663A63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423366" w:rsidRDefault="00423366" w:rsidP="00F64975">
      <w:pPr>
        <w:ind w:firstLine="567"/>
      </w:pPr>
    </w:p>
    <w:p w:rsidR="00F64975" w:rsidRDefault="00F64975" w:rsidP="00F64975">
      <w:pPr>
        <w:ind w:firstLine="567"/>
      </w:pPr>
      <w:r>
        <w:t>Detaljnije obavijesti obveznicima predaje financijskih izvještaja u sustavu proračuna sadržane su u Okružnici o sastavljanju, konsolidaciji i predaji financijskih izvještaja proračuna, proračunskih i izvanproračunskih korisnika državnog proračuna te proračunskih i izvanproračunskih korisnika jedinica lokalne i područne (regionalne) samouprave za razdoblje od 1. siječnja do 31. prosinca 2023.</w:t>
      </w:r>
      <w:r w:rsidR="00BC4DCD">
        <w:t xml:space="preserve">, koja je </w:t>
      </w:r>
      <w:r>
        <w:t>objavljen</w:t>
      </w:r>
      <w:r w:rsidR="00BC4DCD">
        <w:t>a</w:t>
      </w:r>
      <w:r>
        <w:t xml:space="preserve"> na mrežnim stranicama Ministarstva financija (</w:t>
      </w:r>
      <w:hyperlink r:id="rId8" w:history="1">
        <w:r w:rsidRPr="00395A20">
          <w:rPr>
            <w:rStyle w:val="Hiperveza"/>
          </w:rPr>
          <w:t>https://mfin.gov.hr/drzavna-riznica/racunovodstvo/financijsko-izvjestavanje-177/okruznica-o-predaji-i-konsolidaciji-financijskih-izvjestaja-proracuna-i-proracunskih-korisnika/2023-3442/3442</w:t>
        </w:r>
      </w:hyperlink>
      <w:r>
        <w:t>).</w:t>
      </w:r>
    </w:p>
    <w:p w:rsidR="00F64975" w:rsidRDefault="00F64975" w:rsidP="00F64975">
      <w:pPr>
        <w:ind w:firstLine="567"/>
      </w:pPr>
    </w:p>
    <w:p w:rsidR="00F52D91" w:rsidRPr="000D7019" w:rsidRDefault="00F52D91" w:rsidP="00F52D91">
      <w:pPr>
        <w:ind w:left="1416"/>
        <w:rPr>
          <w:rFonts w:cs="Arial"/>
          <w:color w:val="000000"/>
        </w:rPr>
      </w:pPr>
    </w:p>
    <w:p w:rsidR="00B25E95" w:rsidRPr="000D7019" w:rsidRDefault="00B25E95" w:rsidP="00F52D91">
      <w:pPr>
        <w:ind w:left="1416"/>
        <w:rPr>
          <w:rFonts w:cs="Arial"/>
          <w:color w:val="000000"/>
        </w:rPr>
      </w:pPr>
    </w:p>
    <w:p w:rsidR="00EE63F7" w:rsidRDefault="00516846" w:rsidP="00663A63">
      <w:pPr>
        <w:rPr>
          <w:rFonts w:cs="Arial"/>
          <w:color w:val="000000"/>
        </w:rPr>
      </w:pPr>
      <w:r w:rsidRPr="000D7019">
        <w:rPr>
          <w:rFonts w:cs="Arial"/>
          <w:color w:val="000000"/>
        </w:rPr>
        <w:tab/>
      </w:r>
      <w:r w:rsidRPr="000D7019">
        <w:rPr>
          <w:rFonts w:cs="Arial"/>
          <w:color w:val="000000"/>
        </w:rPr>
        <w:tab/>
      </w:r>
      <w:r w:rsidRPr="000D7019">
        <w:rPr>
          <w:rFonts w:cs="Arial"/>
          <w:color w:val="000000"/>
        </w:rPr>
        <w:tab/>
      </w:r>
      <w:r w:rsidR="00562CBC" w:rsidRPr="000D7019">
        <w:rPr>
          <w:rFonts w:cs="Arial"/>
          <w:color w:val="000000"/>
        </w:rPr>
        <w:tab/>
      </w:r>
      <w:r w:rsidR="00562CBC" w:rsidRPr="000D7019">
        <w:rPr>
          <w:rFonts w:cs="Arial"/>
          <w:color w:val="000000"/>
        </w:rPr>
        <w:tab/>
        <w:t xml:space="preserve">      </w:t>
      </w:r>
      <w:r w:rsidR="00B25E95" w:rsidRPr="000D7019">
        <w:rPr>
          <w:rFonts w:cs="Arial"/>
          <w:color w:val="000000"/>
        </w:rPr>
        <w:t xml:space="preserve"> </w:t>
      </w:r>
      <w:r w:rsidR="00663A63">
        <w:rPr>
          <w:rFonts w:cs="Arial"/>
          <w:color w:val="000000"/>
        </w:rPr>
        <w:tab/>
      </w:r>
      <w:r w:rsidR="00663A63">
        <w:rPr>
          <w:rFonts w:cs="Arial"/>
          <w:color w:val="000000"/>
        </w:rPr>
        <w:tab/>
      </w:r>
      <w:r w:rsidR="00663A63">
        <w:rPr>
          <w:rFonts w:cs="Arial"/>
          <w:color w:val="000000"/>
        </w:rPr>
        <w:tab/>
        <w:t>GLAVNI DRŽAVNI REVIZOR</w:t>
      </w:r>
    </w:p>
    <w:p w:rsidR="00663A63" w:rsidRPr="000D7019" w:rsidRDefault="00663A63" w:rsidP="00663A63">
      <w:pPr>
        <w:rPr>
          <w:rFonts w:cs="Arial"/>
          <w:color w:val="000000"/>
        </w:rPr>
      </w:pPr>
    </w:p>
    <w:p w:rsidR="00877702" w:rsidRPr="000D7019" w:rsidRDefault="00516846">
      <w:pPr>
        <w:rPr>
          <w:color w:val="000000"/>
        </w:rPr>
      </w:pPr>
      <w:r w:rsidRPr="000D7019">
        <w:rPr>
          <w:color w:val="000000"/>
        </w:rPr>
        <w:tab/>
      </w:r>
      <w:r w:rsidRPr="000D7019">
        <w:rPr>
          <w:color w:val="000000"/>
        </w:rPr>
        <w:tab/>
      </w:r>
      <w:r w:rsidRPr="000D7019">
        <w:rPr>
          <w:color w:val="000000"/>
        </w:rPr>
        <w:tab/>
      </w:r>
      <w:r w:rsidRPr="000D7019">
        <w:rPr>
          <w:color w:val="000000"/>
        </w:rPr>
        <w:tab/>
      </w:r>
      <w:r w:rsidRPr="000D7019">
        <w:rPr>
          <w:color w:val="000000"/>
        </w:rPr>
        <w:tab/>
      </w:r>
      <w:r w:rsidRPr="000D7019">
        <w:rPr>
          <w:color w:val="000000"/>
        </w:rPr>
        <w:tab/>
      </w:r>
      <w:r w:rsidR="00217D78">
        <w:rPr>
          <w:color w:val="000000"/>
        </w:rPr>
        <w:t xml:space="preserve">         </w:t>
      </w:r>
      <w:r w:rsidR="00663A63">
        <w:rPr>
          <w:color w:val="000000"/>
        </w:rPr>
        <w:tab/>
      </w:r>
      <w:r w:rsidR="00663A63">
        <w:rPr>
          <w:color w:val="000000"/>
        </w:rPr>
        <w:tab/>
        <w:t xml:space="preserve">mr. Ivan </w:t>
      </w:r>
      <w:proofErr w:type="spellStart"/>
      <w:r w:rsidR="00663A63">
        <w:rPr>
          <w:color w:val="000000"/>
        </w:rPr>
        <w:t>Klešić</w:t>
      </w:r>
      <w:proofErr w:type="spellEnd"/>
      <w:r w:rsidR="00663A63">
        <w:rPr>
          <w:color w:val="000000"/>
        </w:rPr>
        <w:t xml:space="preserve">, dipl. </w:t>
      </w:r>
      <w:proofErr w:type="spellStart"/>
      <w:r w:rsidR="00E24C7B">
        <w:rPr>
          <w:color w:val="000000"/>
        </w:rPr>
        <w:t>oec</w:t>
      </w:r>
      <w:proofErr w:type="spellEnd"/>
      <w:r w:rsidR="00E24C7B">
        <w:rPr>
          <w:color w:val="000000"/>
        </w:rPr>
        <w:t xml:space="preserve">., </w:t>
      </w:r>
      <w:r w:rsidR="007A4BB8" w:rsidRPr="000D7019">
        <w:rPr>
          <w:color w:val="000000"/>
        </w:rPr>
        <w:t>v. r.</w:t>
      </w:r>
    </w:p>
    <w:sectPr w:rsidR="00877702" w:rsidRPr="000D7019" w:rsidSect="00EF3327">
      <w:headerReference w:type="even" r:id="rId9"/>
      <w:headerReference w:type="default" r:id="rId10"/>
      <w:pgSz w:w="11906" w:h="16838" w:code="9"/>
      <w:pgMar w:top="1134" w:right="1134" w:bottom="1134" w:left="1134" w:header="56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6B" w:rsidRDefault="000C156B">
      <w:r>
        <w:separator/>
      </w:r>
    </w:p>
  </w:endnote>
  <w:endnote w:type="continuationSeparator" w:id="0">
    <w:p w:rsidR="000C156B" w:rsidRDefault="000C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6B" w:rsidRDefault="000C156B">
      <w:r>
        <w:separator/>
      </w:r>
    </w:p>
  </w:footnote>
  <w:footnote w:type="continuationSeparator" w:id="0">
    <w:p w:rsidR="000C156B" w:rsidRDefault="000C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27" w:rsidRDefault="00EF3327" w:rsidP="00AC56C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F3327" w:rsidRDefault="00EF33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327" w:rsidRDefault="00EF3327" w:rsidP="00AC56C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A603F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F3327" w:rsidRDefault="00EF33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BBC"/>
    <w:multiLevelType w:val="hybridMultilevel"/>
    <w:tmpl w:val="856883DA"/>
    <w:lvl w:ilvl="0" w:tplc="E392DC0E">
      <w:numFmt w:val="bullet"/>
      <w:lvlText w:val="-"/>
      <w:lvlJc w:val="left"/>
      <w:pPr>
        <w:ind w:left="927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8E202F"/>
    <w:multiLevelType w:val="hybridMultilevel"/>
    <w:tmpl w:val="E9D41098"/>
    <w:lvl w:ilvl="0" w:tplc="E18C48D8">
      <w:numFmt w:val="bullet"/>
      <w:lvlText w:val="-"/>
      <w:lvlJc w:val="left"/>
      <w:pPr>
        <w:ind w:left="6024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2" w15:restartNumberingAfterBreak="0">
    <w:nsid w:val="215E4E38"/>
    <w:multiLevelType w:val="hybridMultilevel"/>
    <w:tmpl w:val="43E8A7D4"/>
    <w:lvl w:ilvl="0" w:tplc="28000C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C21C2"/>
    <w:multiLevelType w:val="hybridMultilevel"/>
    <w:tmpl w:val="0C986066"/>
    <w:lvl w:ilvl="0" w:tplc="3A58A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1F95"/>
    <w:multiLevelType w:val="hybridMultilevel"/>
    <w:tmpl w:val="FCA02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12F1E"/>
    <w:multiLevelType w:val="hybridMultilevel"/>
    <w:tmpl w:val="BAA25C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922B1"/>
    <w:multiLevelType w:val="hybridMultilevel"/>
    <w:tmpl w:val="17E053CE"/>
    <w:lvl w:ilvl="0" w:tplc="7D161EAC">
      <w:start w:val="4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C8B6098"/>
    <w:multiLevelType w:val="hybridMultilevel"/>
    <w:tmpl w:val="0D42DCF2"/>
    <w:lvl w:ilvl="0" w:tplc="F85229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1581235"/>
    <w:multiLevelType w:val="hybridMultilevel"/>
    <w:tmpl w:val="29700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C2D69"/>
    <w:multiLevelType w:val="hybridMultilevel"/>
    <w:tmpl w:val="A70AD9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7255E"/>
    <w:multiLevelType w:val="hybridMultilevel"/>
    <w:tmpl w:val="F2820FE4"/>
    <w:lvl w:ilvl="0" w:tplc="636ECD5C">
      <w:start w:val="1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MS Mincho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0272FE6"/>
    <w:multiLevelType w:val="hybridMultilevel"/>
    <w:tmpl w:val="337EE12C"/>
    <w:lvl w:ilvl="0" w:tplc="A4200806">
      <w:numFmt w:val="bullet"/>
      <w:lvlText w:val="–"/>
      <w:lvlJc w:val="left"/>
      <w:pPr>
        <w:ind w:left="927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5346D52"/>
    <w:multiLevelType w:val="hybridMultilevel"/>
    <w:tmpl w:val="E7680C74"/>
    <w:lvl w:ilvl="0" w:tplc="61B85B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4C81916"/>
    <w:multiLevelType w:val="hybridMultilevel"/>
    <w:tmpl w:val="1842E1FA"/>
    <w:lvl w:ilvl="0" w:tplc="041A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4" w15:restartNumberingAfterBreak="0">
    <w:nsid w:val="66DA0FB3"/>
    <w:multiLevelType w:val="hybridMultilevel"/>
    <w:tmpl w:val="797CF0A4"/>
    <w:lvl w:ilvl="0" w:tplc="C77677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92C19EE"/>
    <w:multiLevelType w:val="hybridMultilevel"/>
    <w:tmpl w:val="B6D6A9D2"/>
    <w:lvl w:ilvl="0" w:tplc="798695D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29646F6"/>
    <w:multiLevelType w:val="hybridMultilevel"/>
    <w:tmpl w:val="B03EC80E"/>
    <w:lvl w:ilvl="0" w:tplc="F738D2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16"/>
  </w:num>
  <w:num w:numId="6">
    <w:abstractNumId w:val="7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1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D"/>
    <w:rsid w:val="00004963"/>
    <w:rsid w:val="000060C7"/>
    <w:rsid w:val="0000635E"/>
    <w:rsid w:val="00013AC1"/>
    <w:rsid w:val="00023EA0"/>
    <w:rsid w:val="000356B3"/>
    <w:rsid w:val="00040B45"/>
    <w:rsid w:val="000434D7"/>
    <w:rsid w:val="000534E2"/>
    <w:rsid w:val="00055A02"/>
    <w:rsid w:val="00056C0D"/>
    <w:rsid w:val="00071043"/>
    <w:rsid w:val="00081572"/>
    <w:rsid w:val="000916DD"/>
    <w:rsid w:val="000944D6"/>
    <w:rsid w:val="000A1151"/>
    <w:rsid w:val="000A4E8D"/>
    <w:rsid w:val="000B4665"/>
    <w:rsid w:val="000C156B"/>
    <w:rsid w:val="000C1F8C"/>
    <w:rsid w:val="000D10FB"/>
    <w:rsid w:val="000D686A"/>
    <w:rsid w:val="000D7019"/>
    <w:rsid w:val="000E0C8F"/>
    <w:rsid w:val="000E12F5"/>
    <w:rsid w:val="00121B56"/>
    <w:rsid w:val="00131671"/>
    <w:rsid w:val="00150186"/>
    <w:rsid w:val="0015092C"/>
    <w:rsid w:val="00153BA2"/>
    <w:rsid w:val="00156533"/>
    <w:rsid w:val="0016711F"/>
    <w:rsid w:val="001678CC"/>
    <w:rsid w:val="00174110"/>
    <w:rsid w:val="00177FAC"/>
    <w:rsid w:val="001947DC"/>
    <w:rsid w:val="001A436D"/>
    <w:rsid w:val="001A5895"/>
    <w:rsid w:val="001A603F"/>
    <w:rsid w:val="001B3271"/>
    <w:rsid w:val="001C15D2"/>
    <w:rsid w:val="001D36A6"/>
    <w:rsid w:val="001D784B"/>
    <w:rsid w:val="001E3624"/>
    <w:rsid w:val="002025B0"/>
    <w:rsid w:val="00215B7A"/>
    <w:rsid w:val="00217D78"/>
    <w:rsid w:val="00224256"/>
    <w:rsid w:val="0022447A"/>
    <w:rsid w:val="0022549F"/>
    <w:rsid w:val="00231D17"/>
    <w:rsid w:val="0024153C"/>
    <w:rsid w:val="002439E1"/>
    <w:rsid w:val="002468D1"/>
    <w:rsid w:val="00252741"/>
    <w:rsid w:val="0026160F"/>
    <w:rsid w:val="00270E96"/>
    <w:rsid w:val="00286577"/>
    <w:rsid w:val="002B1F1A"/>
    <w:rsid w:val="002D11CC"/>
    <w:rsid w:val="002E5D5F"/>
    <w:rsid w:val="002E7926"/>
    <w:rsid w:val="002F51AE"/>
    <w:rsid w:val="00312822"/>
    <w:rsid w:val="00316991"/>
    <w:rsid w:val="003352B0"/>
    <w:rsid w:val="00340CBF"/>
    <w:rsid w:val="00341E62"/>
    <w:rsid w:val="00393708"/>
    <w:rsid w:val="00393AE8"/>
    <w:rsid w:val="003B76A8"/>
    <w:rsid w:val="003C2F59"/>
    <w:rsid w:val="003C5AA4"/>
    <w:rsid w:val="003D383D"/>
    <w:rsid w:val="003D622B"/>
    <w:rsid w:val="003D626B"/>
    <w:rsid w:val="003E5664"/>
    <w:rsid w:val="003E7660"/>
    <w:rsid w:val="003F0EE8"/>
    <w:rsid w:val="003F5F72"/>
    <w:rsid w:val="004052D2"/>
    <w:rsid w:val="00414A45"/>
    <w:rsid w:val="00417DE1"/>
    <w:rsid w:val="004205B9"/>
    <w:rsid w:val="00423366"/>
    <w:rsid w:val="0043540F"/>
    <w:rsid w:val="0044521D"/>
    <w:rsid w:val="00483091"/>
    <w:rsid w:val="004A0FF9"/>
    <w:rsid w:val="004A202C"/>
    <w:rsid w:val="004C4458"/>
    <w:rsid w:val="004D2050"/>
    <w:rsid w:val="004D311F"/>
    <w:rsid w:val="004E6104"/>
    <w:rsid w:val="004E7955"/>
    <w:rsid w:val="004F0011"/>
    <w:rsid w:val="004F0419"/>
    <w:rsid w:val="004F78A9"/>
    <w:rsid w:val="0050259B"/>
    <w:rsid w:val="0051014C"/>
    <w:rsid w:val="00515CAE"/>
    <w:rsid w:val="00516846"/>
    <w:rsid w:val="00520965"/>
    <w:rsid w:val="0052385A"/>
    <w:rsid w:val="00524908"/>
    <w:rsid w:val="0054151D"/>
    <w:rsid w:val="00550DDD"/>
    <w:rsid w:val="00551649"/>
    <w:rsid w:val="00562CBC"/>
    <w:rsid w:val="005636C5"/>
    <w:rsid w:val="00570AC5"/>
    <w:rsid w:val="0057254F"/>
    <w:rsid w:val="00585D28"/>
    <w:rsid w:val="0058612F"/>
    <w:rsid w:val="00594BF9"/>
    <w:rsid w:val="005B40DD"/>
    <w:rsid w:val="005C5E2A"/>
    <w:rsid w:val="005C70F8"/>
    <w:rsid w:val="005E752C"/>
    <w:rsid w:val="00614AB2"/>
    <w:rsid w:val="00621A58"/>
    <w:rsid w:val="00625D0B"/>
    <w:rsid w:val="00630EE9"/>
    <w:rsid w:val="00632E0A"/>
    <w:rsid w:val="0064303D"/>
    <w:rsid w:val="00645FDA"/>
    <w:rsid w:val="00646D96"/>
    <w:rsid w:val="0066097F"/>
    <w:rsid w:val="00663A63"/>
    <w:rsid w:val="006708F6"/>
    <w:rsid w:val="00671092"/>
    <w:rsid w:val="006821F0"/>
    <w:rsid w:val="00684A53"/>
    <w:rsid w:val="00686234"/>
    <w:rsid w:val="007056E3"/>
    <w:rsid w:val="0071062E"/>
    <w:rsid w:val="0071744D"/>
    <w:rsid w:val="00720011"/>
    <w:rsid w:val="00727DFF"/>
    <w:rsid w:val="007345D6"/>
    <w:rsid w:val="007430C6"/>
    <w:rsid w:val="007470AE"/>
    <w:rsid w:val="00750C8E"/>
    <w:rsid w:val="007523EC"/>
    <w:rsid w:val="0075621D"/>
    <w:rsid w:val="00762368"/>
    <w:rsid w:val="00773E70"/>
    <w:rsid w:val="00786939"/>
    <w:rsid w:val="007A4BB8"/>
    <w:rsid w:val="007B77EC"/>
    <w:rsid w:val="007D2951"/>
    <w:rsid w:val="007D30CD"/>
    <w:rsid w:val="007E1C0D"/>
    <w:rsid w:val="007F130D"/>
    <w:rsid w:val="007F3A5F"/>
    <w:rsid w:val="008111B6"/>
    <w:rsid w:val="008217EA"/>
    <w:rsid w:val="008417FE"/>
    <w:rsid w:val="0084235A"/>
    <w:rsid w:val="00853649"/>
    <w:rsid w:val="008660C4"/>
    <w:rsid w:val="00866EF0"/>
    <w:rsid w:val="00877702"/>
    <w:rsid w:val="00877DF1"/>
    <w:rsid w:val="0089368D"/>
    <w:rsid w:val="008A2006"/>
    <w:rsid w:val="008A26A2"/>
    <w:rsid w:val="008B4BD9"/>
    <w:rsid w:val="008B4C86"/>
    <w:rsid w:val="008B7605"/>
    <w:rsid w:val="008D1B34"/>
    <w:rsid w:val="008E17E0"/>
    <w:rsid w:val="008F47DF"/>
    <w:rsid w:val="00901A87"/>
    <w:rsid w:val="00915E53"/>
    <w:rsid w:val="00925DAB"/>
    <w:rsid w:val="00931CC8"/>
    <w:rsid w:val="00950317"/>
    <w:rsid w:val="009571E2"/>
    <w:rsid w:val="00970157"/>
    <w:rsid w:val="009738C3"/>
    <w:rsid w:val="00974216"/>
    <w:rsid w:val="00976D29"/>
    <w:rsid w:val="009878CE"/>
    <w:rsid w:val="00990324"/>
    <w:rsid w:val="009960EA"/>
    <w:rsid w:val="009C2772"/>
    <w:rsid w:val="009D15C1"/>
    <w:rsid w:val="009E7E32"/>
    <w:rsid w:val="009F090D"/>
    <w:rsid w:val="009F28FA"/>
    <w:rsid w:val="00A03848"/>
    <w:rsid w:val="00A15749"/>
    <w:rsid w:val="00A161FF"/>
    <w:rsid w:val="00A17D71"/>
    <w:rsid w:val="00A34D23"/>
    <w:rsid w:val="00A36756"/>
    <w:rsid w:val="00A403CB"/>
    <w:rsid w:val="00A44F0A"/>
    <w:rsid w:val="00A44F30"/>
    <w:rsid w:val="00A51212"/>
    <w:rsid w:val="00A54419"/>
    <w:rsid w:val="00A558F9"/>
    <w:rsid w:val="00A55BA4"/>
    <w:rsid w:val="00A6215F"/>
    <w:rsid w:val="00A739C3"/>
    <w:rsid w:val="00AA6010"/>
    <w:rsid w:val="00AC56C0"/>
    <w:rsid w:val="00AC6142"/>
    <w:rsid w:val="00AE1097"/>
    <w:rsid w:val="00AE30C3"/>
    <w:rsid w:val="00AE3796"/>
    <w:rsid w:val="00AF33D7"/>
    <w:rsid w:val="00AF353E"/>
    <w:rsid w:val="00AF38F8"/>
    <w:rsid w:val="00B0675F"/>
    <w:rsid w:val="00B2315A"/>
    <w:rsid w:val="00B25E95"/>
    <w:rsid w:val="00B440EC"/>
    <w:rsid w:val="00B60A6D"/>
    <w:rsid w:val="00B73E24"/>
    <w:rsid w:val="00B74A78"/>
    <w:rsid w:val="00B81070"/>
    <w:rsid w:val="00B960A2"/>
    <w:rsid w:val="00BA0130"/>
    <w:rsid w:val="00BA7360"/>
    <w:rsid w:val="00BB40C2"/>
    <w:rsid w:val="00BB4430"/>
    <w:rsid w:val="00BC0464"/>
    <w:rsid w:val="00BC4DCD"/>
    <w:rsid w:val="00BF4C52"/>
    <w:rsid w:val="00BF6BA1"/>
    <w:rsid w:val="00C01E27"/>
    <w:rsid w:val="00C05F58"/>
    <w:rsid w:val="00C114AC"/>
    <w:rsid w:val="00C163ED"/>
    <w:rsid w:val="00C265E1"/>
    <w:rsid w:val="00C457E1"/>
    <w:rsid w:val="00C504E2"/>
    <w:rsid w:val="00C50EA2"/>
    <w:rsid w:val="00C5296A"/>
    <w:rsid w:val="00C5547E"/>
    <w:rsid w:val="00C67035"/>
    <w:rsid w:val="00C720CD"/>
    <w:rsid w:val="00CA1D3B"/>
    <w:rsid w:val="00CB7FF1"/>
    <w:rsid w:val="00CC49D9"/>
    <w:rsid w:val="00CC7A5A"/>
    <w:rsid w:val="00CD005A"/>
    <w:rsid w:val="00CD45AD"/>
    <w:rsid w:val="00CD6E53"/>
    <w:rsid w:val="00CE6295"/>
    <w:rsid w:val="00CF0CC7"/>
    <w:rsid w:val="00CF748F"/>
    <w:rsid w:val="00D1609C"/>
    <w:rsid w:val="00D163EC"/>
    <w:rsid w:val="00D34617"/>
    <w:rsid w:val="00D35CE6"/>
    <w:rsid w:val="00D41370"/>
    <w:rsid w:val="00D8117A"/>
    <w:rsid w:val="00D85DDC"/>
    <w:rsid w:val="00D86229"/>
    <w:rsid w:val="00DA1DDB"/>
    <w:rsid w:val="00DA6112"/>
    <w:rsid w:val="00DC1857"/>
    <w:rsid w:val="00DC3F52"/>
    <w:rsid w:val="00DC60F3"/>
    <w:rsid w:val="00DE232B"/>
    <w:rsid w:val="00E13052"/>
    <w:rsid w:val="00E24C7B"/>
    <w:rsid w:val="00E27D91"/>
    <w:rsid w:val="00E3764D"/>
    <w:rsid w:val="00E706AC"/>
    <w:rsid w:val="00E7140D"/>
    <w:rsid w:val="00EB24D8"/>
    <w:rsid w:val="00EB2EFA"/>
    <w:rsid w:val="00EC674F"/>
    <w:rsid w:val="00EC7375"/>
    <w:rsid w:val="00ED232A"/>
    <w:rsid w:val="00EE3724"/>
    <w:rsid w:val="00EE63F7"/>
    <w:rsid w:val="00EE7CE6"/>
    <w:rsid w:val="00EF2356"/>
    <w:rsid w:val="00EF3327"/>
    <w:rsid w:val="00F24B35"/>
    <w:rsid w:val="00F34D48"/>
    <w:rsid w:val="00F4063E"/>
    <w:rsid w:val="00F41A7E"/>
    <w:rsid w:val="00F42665"/>
    <w:rsid w:val="00F43BD4"/>
    <w:rsid w:val="00F4458D"/>
    <w:rsid w:val="00F52D91"/>
    <w:rsid w:val="00F63F1D"/>
    <w:rsid w:val="00F64975"/>
    <w:rsid w:val="00F87AD2"/>
    <w:rsid w:val="00F92D77"/>
    <w:rsid w:val="00F93E7E"/>
    <w:rsid w:val="00FA771B"/>
    <w:rsid w:val="00FB2B57"/>
    <w:rsid w:val="00FD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BAAA2"/>
  <w15:chartTrackingRefBased/>
  <w15:docId w15:val="{4FA4AD1E-1CAC-43FB-858E-3B9F77C5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24"/>
    <w:pPr>
      <w:jc w:val="both"/>
    </w:pPr>
    <w:rPr>
      <w:rFonts w:ascii="Arial" w:hAnsi="Arial"/>
      <w:sz w:val="24"/>
      <w:szCs w:val="24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3C2F59"/>
    <w:pPr>
      <w:spacing w:after="160" w:line="240" w:lineRule="exact"/>
      <w:jc w:val="left"/>
    </w:pPr>
    <w:rPr>
      <w:rFonts w:ascii="Tahoma" w:eastAsia="Times New Roman" w:hAnsi="Tahoma"/>
      <w:sz w:val="20"/>
      <w:lang w:val="en-US" w:eastAsia="en-US"/>
    </w:rPr>
  </w:style>
  <w:style w:type="paragraph" w:styleId="Zaglavlje">
    <w:name w:val="header"/>
    <w:basedOn w:val="Normal"/>
    <w:rsid w:val="00EF332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F3327"/>
  </w:style>
  <w:style w:type="character" w:styleId="Hiperveza">
    <w:name w:val="Hyperlink"/>
    <w:rsid w:val="00270E96"/>
    <w:rPr>
      <w:color w:val="0000FF"/>
      <w:u w:val="single"/>
    </w:rPr>
  </w:style>
  <w:style w:type="character" w:styleId="Naglaeno">
    <w:name w:val="Strong"/>
    <w:uiPriority w:val="22"/>
    <w:qFormat/>
    <w:rsid w:val="006821F0"/>
    <w:rPr>
      <w:b/>
      <w:bCs/>
    </w:rPr>
  </w:style>
  <w:style w:type="character" w:styleId="Referencakomentara">
    <w:name w:val="annotation reference"/>
    <w:uiPriority w:val="99"/>
    <w:semiHidden/>
    <w:unhideWhenUsed/>
    <w:rsid w:val="007345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345D6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7345D6"/>
    <w:rPr>
      <w:rFonts w:ascii="Arial" w:hAnsi="Arial"/>
      <w:lang w:eastAsia="ja-JP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45D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345D6"/>
    <w:rPr>
      <w:rFonts w:ascii="Arial" w:hAnsi="Arial"/>
      <w:b/>
      <w:bCs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45D6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345D6"/>
    <w:rPr>
      <w:rFonts w:ascii="Tahoma" w:hAnsi="Tahoma" w:cs="Tahoma"/>
      <w:sz w:val="16"/>
      <w:szCs w:val="16"/>
      <w:lang w:eastAsia="ja-JP"/>
    </w:rPr>
  </w:style>
  <w:style w:type="table" w:styleId="Reetkatablice">
    <w:name w:val="Table Grid"/>
    <w:basedOn w:val="Obinatablica"/>
    <w:uiPriority w:val="59"/>
    <w:rsid w:val="00925DAB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5DAB"/>
    <w:pPr>
      <w:ind w:left="720"/>
      <w:contextualSpacing/>
      <w:jc w:val="left"/>
    </w:pPr>
    <w:rPr>
      <w:rFonts w:eastAsia="Calibri"/>
      <w:szCs w:val="22"/>
      <w:lang w:eastAsia="en-US"/>
    </w:rPr>
  </w:style>
  <w:style w:type="character" w:styleId="SlijeenaHiperveza">
    <w:name w:val="FollowedHyperlink"/>
    <w:uiPriority w:val="99"/>
    <w:semiHidden/>
    <w:unhideWhenUsed/>
    <w:rsid w:val="00121B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drzavna-riznica/racunovodstvo/financijsko-izvjestavanje-177/okruznica-o-predaji-i-konsolidaciji-financijskih-izvjestaja-proracuna-i-proracunskih-korisnika/2023-3442/34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- TDU</Company>
  <LinksUpToDate>false</LinksUpToDate>
  <CharactersWithSpaces>2499</CharactersWithSpaces>
  <SharedDoc>false</SharedDoc>
  <HLinks>
    <vt:vector size="18" baseType="variant">
      <vt:variant>
        <vt:i4>655383</vt:i4>
      </vt:variant>
      <vt:variant>
        <vt:i4>6</vt:i4>
      </vt:variant>
      <vt:variant>
        <vt:i4>0</vt:i4>
      </vt:variant>
      <vt:variant>
        <vt:i4>5</vt:i4>
      </vt:variant>
      <vt:variant>
        <vt:lpwstr>https://mfin.gov.hr/istaknute-teme/drzavna-riznica/racunovodstvo/registar/178</vt:lpwstr>
      </vt:variant>
      <vt:variant>
        <vt:lpwstr/>
      </vt:variant>
      <vt:variant>
        <vt:i4>4063333</vt:i4>
      </vt:variant>
      <vt:variant>
        <vt:i4>3</vt:i4>
      </vt:variant>
      <vt:variant>
        <vt:i4>0</vt:i4>
      </vt:variant>
      <vt:variant>
        <vt:i4>5</vt:i4>
      </vt:variant>
      <vt:variant>
        <vt:lpwstr>https://www.revizija.hr/informacije-za-subjekte-revizije/11</vt:lpwstr>
      </vt:variant>
      <vt:variant>
        <vt:lpwstr/>
      </vt:variant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https://mfin.gov.hr/istaknute-teme/drzavna-riznica/racunovodstvo/financijsko-izvjestavanje-177/177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marban</dc:creator>
  <cp:keywords/>
  <cp:lastModifiedBy>Nada Svete</cp:lastModifiedBy>
  <cp:revision>13</cp:revision>
  <cp:lastPrinted>2017-01-17T08:53:00Z</cp:lastPrinted>
  <dcterms:created xsi:type="dcterms:W3CDTF">2024-01-23T20:51:00Z</dcterms:created>
  <dcterms:modified xsi:type="dcterms:W3CDTF">2024-01-24T09:31:00Z</dcterms:modified>
</cp:coreProperties>
</file>