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AC7" w:rsidRPr="008C737C" w:rsidRDefault="00B26ED2" w:rsidP="00272AC7">
      <w:pPr>
        <w:overflowPunct w:val="0"/>
        <w:autoSpaceDE w:val="0"/>
        <w:autoSpaceDN w:val="0"/>
        <w:adjustRightInd w:val="0"/>
        <w:ind w:firstLine="708"/>
        <w:rPr>
          <w:rFonts w:eastAsia="Times New Roman" w:cs="Arial"/>
          <w:bCs/>
          <w:color w:val="002060"/>
          <w:szCs w:val="24"/>
          <w:lang w:eastAsia="hr-HR"/>
        </w:rPr>
      </w:pPr>
      <w:r w:rsidRPr="008C737C">
        <w:rPr>
          <w:rFonts w:eastAsia="Times New Roman" w:cs="Arial"/>
          <w:bCs/>
          <w:color w:val="002060"/>
          <w:szCs w:val="24"/>
          <w:lang w:eastAsia="hr-HR"/>
        </w:rPr>
        <w:t xml:space="preserve">     </w:t>
      </w:r>
      <w:r w:rsidR="00272AC7" w:rsidRPr="008C737C">
        <w:rPr>
          <w:rFonts w:eastAsia="Times New Roman" w:cs="Times New Roman"/>
          <w:noProof/>
          <w:color w:val="002060"/>
          <w:szCs w:val="24"/>
          <w:lang w:eastAsia="hr-HR"/>
        </w:rPr>
        <w:drawing>
          <wp:inline distT="0" distB="0" distL="0" distR="0" wp14:anchorId="55DC388C" wp14:editId="7C722D25">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272AC7" w:rsidRPr="008C737C" w:rsidRDefault="00272AC7" w:rsidP="00272AC7">
      <w:pP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REPUBLIKA HRVATSKA</w:t>
      </w:r>
    </w:p>
    <w:p w:rsidR="00272AC7" w:rsidRPr="008C737C" w:rsidRDefault="00272AC7" w:rsidP="00272AC7">
      <w:pPr>
        <w:pBdr>
          <w:bottom w:val="single" w:sz="4" w:space="1" w:color="auto"/>
        </w:pBd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DRŽAVNI URED ZA REVIZIJU</w:t>
      </w:r>
    </w:p>
    <w:p w:rsidR="00272AC7" w:rsidRPr="008C737C" w:rsidRDefault="00272AC7" w:rsidP="00272AC7">
      <w:pP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K</w:t>
      </w:r>
      <w:r w:rsidR="006C1878" w:rsidRPr="008C737C">
        <w:rPr>
          <w:rFonts w:eastAsia="Times New Roman" w:cs="Arial"/>
          <w:bCs/>
          <w:color w:val="002060"/>
          <w:szCs w:val="24"/>
          <w:lang w:eastAsia="hr-HR"/>
        </w:rPr>
        <w:t>LASA</w:t>
      </w:r>
      <w:r w:rsidRPr="008C737C">
        <w:rPr>
          <w:rFonts w:eastAsia="Times New Roman" w:cs="Arial"/>
          <w:bCs/>
          <w:color w:val="002060"/>
          <w:szCs w:val="24"/>
          <w:lang w:eastAsia="hr-HR"/>
        </w:rPr>
        <w:t>:</w:t>
      </w:r>
      <w:r w:rsidR="00F87D9F" w:rsidRPr="008C737C">
        <w:rPr>
          <w:rFonts w:eastAsia="Times New Roman" w:cs="Arial"/>
          <w:bCs/>
          <w:color w:val="002060"/>
          <w:szCs w:val="24"/>
          <w:lang w:eastAsia="hr-HR"/>
        </w:rPr>
        <w:t xml:space="preserve"> </w:t>
      </w:r>
      <w:r w:rsidR="00F87D9F" w:rsidRPr="00B21E8F">
        <w:rPr>
          <w:rFonts w:eastAsia="Times New Roman" w:cs="Arial"/>
          <w:bCs/>
          <w:color w:val="002060"/>
          <w:szCs w:val="24"/>
          <w:lang w:eastAsia="hr-HR"/>
        </w:rPr>
        <w:t>041-01/</w:t>
      </w:r>
      <w:r w:rsidR="00B21E8F" w:rsidRPr="00B21E8F">
        <w:rPr>
          <w:rFonts w:eastAsia="Times New Roman" w:cs="Arial"/>
          <w:bCs/>
          <w:color w:val="002060"/>
          <w:szCs w:val="24"/>
          <w:lang w:eastAsia="hr-HR"/>
        </w:rPr>
        <w:t>20</w:t>
      </w:r>
      <w:r w:rsidR="006C7D08" w:rsidRPr="00B21E8F">
        <w:rPr>
          <w:rFonts w:eastAsia="Times New Roman" w:cs="Arial"/>
          <w:bCs/>
          <w:color w:val="002060"/>
          <w:szCs w:val="24"/>
          <w:lang w:eastAsia="hr-HR"/>
        </w:rPr>
        <w:t>-12/</w:t>
      </w:r>
      <w:r w:rsidR="004A5F64" w:rsidRPr="00B21E8F">
        <w:rPr>
          <w:rFonts w:eastAsia="Times New Roman" w:cs="Arial"/>
          <w:bCs/>
          <w:color w:val="002060"/>
          <w:szCs w:val="24"/>
          <w:lang w:eastAsia="hr-HR"/>
        </w:rPr>
        <w:t>1</w:t>
      </w:r>
    </w:p>
    <w:p w:rsidR="00272AC7" w:rsidRPr="008C737C" w:rsidRDefault="00272AC7" w:rsidP="00272AC7">
      <w:pP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U</w:t>
      </w:r>
      <w:r w:rsidR="006C1878" w:rsidRPr="008C737C">
        <w:rPr>
          <w:rFonts w:eastAsia="Times New Roman" w:cs="Arial"/>
          <w:bCs/>
          <w:color w:val="002060"/>
          <w:szCs w:val="24"/>
          <w:lang w:eastAsia="hr-HR"/>
        </w:rPr>
        <w:t>RBROJ</w:t>
      </w:r>
      <w:r w:rsidRPr="008C737C">
        <w:rPr>
          <w:rFonts w:eastAsia="Times New Roman" w:cs="Arial"/>
          <w:bCs/>
          <w:color w:val="002060"/>
          <w:szCs w:val="24"/>
          <w:lang w:eastAsia="hr-HR"/>
        </w:rPr>
        <w:t>:</w:t>
      </w:r>
      <w:r w:rsidR="006C7D08" w:rsidRPr="008C737C">
        <w:rPr>
          <w:rFonts w:eastAsia="Times New Roman" w:cs="Arial"/>
          <w:bCs/>
          <w:color w:val="002060"/>
          <w:szCs w:val="24"/>
          <w:lang w:eastAsia="hr-HR"/>
        </w:rPr>
        <w:t xml:space="preserve"> 613-01-01-</w:t>
      </w:r>
      <w:r w:rsidR="0037642D">
        <w:rPr>
          <w:rFonts w:eastAsia="Times New Roman" w:cs="Arial"/>
          <w:bCs/>
          <w:color w:val="002060"/>
          <w:szCs w:val="24"/>
          <w:lang w:eastAsia="hr-HR"/>
        </w:rPr>
        <w:t>20</w:t>
      </w:r>
      <w:r w:rsidR="006C7D08" w:rsidRPr="008C737C">
        <w:rPr>
          <w:rFonts w:eastAsia="Times New Roman" w:cs="Arial"/>
          <w:bCs/>
          <w:color w:val="002060"/>
          <w:szCs w:val="24"/>
          <w:lang w:eastAsia="hr-HR"/>
        </w:rPr>
        <w:t>-</w:t>
      </w:r>
      <w:r w:rsidR="00623AA4">
        <w:rPr>
          <w:rFonts w:eastAsia="Times New Roman" w:cs="Arial"/>
          <w:bCs/>
          <w:color w:val="002060"/>
          <w:szCs w:val="24"/>
          <w:lang w:eastAsia="hr-HR"/>
        </w:rPr>
        <w:t>5</w:t>
      </w:r>
    </w:p>
    <w:p w:rsidR="00272AC7" w:rsidRPr="008C737C" w:rsidRDefault="00272AC7" w:rsidP="00272AC7">
      <w:pPr>
        <w:overflowPunct w:val="0"/>
        <w:autoSpaceDE w:val="0"/>
        <w:autoSpaceDN w:val="0"/>
        <w:adjustRightInd w:val="0"/>
        <w:rPr>
          <w:rFonts w:eastAsia="Times New Roman" w:cs="Arial"/>
          <w:bCs/>
          <w:color w:val="002060"/>
          <w:szCs w:val="24"/>
          <w:lang w:eastAsia="hr-HR"/>
        </w:rPr>
      </w:pPr>
    </w:p>
    <w:p w:rsidR="00272AC7" w:rsidRPr="008C737C" w:rsidRDefault="00272AC7" w:rsidP="00272AC7">
      <w:pPr>
        <w:keepNext/>
        <w:overflowPunct w:val="0"/>
        <w:autoSpaceDE w:val="0"/>
        <w:autoSpaceDN w:val="0"/>
        <w:adjustRightInd w:val="0"/>
        <w:outlineLvl w:val="0"/>
        <w:rPr>
          <w:rFonts w:eastAsia="Times New Roman" w:cs="Times New Roman"/>
          <w:bCs/>
          <w:color w:val="002060"/>
          <w:kern w:val="32"/>
          <w:szCs w:val="24"/>
          <w:lang w:eastAsia="hr-HR"/>
        </w:rPr>
      </w:pPr>
      <w:r w:rsidRPr="008C737C">
        <w:rPr>
          <w:rFonts w:eastAsia="Times New Roman" w:cs="Times New Roman"/>
          <w:bCs/>
          <w:color w:val="002060"/>
          <w:kern w:val="32"/>
          <w:szCs w:val="24"/>
          <w:lang w:eastAsia="hr-HR"/>
        </w:rPr>
        <w:t xml:space="preserve">Zagreb, </w:t>
      </w:r>
      <w:r w:rsidR="0037642D">
        <w:rPr>
          <w:rFonts w:eastAsia="Times New Roman" w:cs="Times New Roman"/>
          <w:bCs/>
          <w:color w:val="002060"/>
          <w:kern w:val="32"/>
          <w:szCs w:val="24"/>
          <w:lang w:eastAsia="hr-HR"/>
        </w:rPr>
        <w:t>2</w:t>
      </w:r>
      <w:r w:rsidR="00623AA4">
        <w:rPr>
          <w:rFonts w:eastAsia="Times New Roman" w:cs="Times New Roman"/>
          <w:bCs/>
          <w:color w:val="002060"/>
          <w:kern w:val="32"/>
          <w:szCs w:val="24"/>
          <w:lang w:eastAsia="hr-HR"/>
        </w:rPr>
        <w:t>7</w:t>
      </w:r>
      <w:r w:rsidRPr="008C737C">
        <w:rPr>
          <w:rFonts w:eastAsia="Times New Roman" w:cs="Times New Roman"/>
          <w:bCs/>
          <w:color w:val="002060"/>
          <w:kern w:val="32"/>
          <w:szCs w:val="24"/>
          <w:lang w:eastAsia="hr-HR"/>
        </w:rPr>
        <w:t xml:space="preserve">. </w:t>
      </w:r>
      <w:r w:rsidR="00623AA4">
        <w:rPr>
          <w:rFonts w:eastAsia="Times New Roman" w:cs="Times New Roman"/>
          <w:bCs/>
          <w:color w:val="002060"/>
          <w:kern w:val="32"/>
          <w:szCs w:val="24"/>
          <w:lang w:eastAsia="hr-HR"/>
        </w:rPr>
        <w:t>veljače</w:t>
      </w:r>
      <w:r w:rsidRPr="008C737C">
        <w:rPr>
          <w:rFonts w:eastAsia="Times New Roman" w:cs="Times New Roman"/>
          <w:bCs/>
          <w:color w:val="002060"/>
          <w:kern w:val="32"/>
          <w:szCs w:val="24"/>
          <w:lang w:eastAsia="hr-HR"/>
        </w:rPr>
        <w:t xml:space="preserve"> 20</w:t>
      </w:r>
      <w:r w:rsidR="0037642D">
        <w:rPr>
          <w:rFonts w:eastAsia="Times New Roman" w:cs="Times New Roman"/>
          <w:bCs/>
          <w:color w:val="002060"/>
          <w:kern w:val="32"/>
          <w:szCs w:val="24"/>
          <w:lang w:eastAsia="hr-HR"/>
        </w:rPr>
        <w:t>20</w:t>
      </w:r>
      <w:r w:rsidRPr="008C737C">
        <w:rPr>
          <w:rFonts w:eastAsia="Times New Roman" w:cs="Times New Roman"/>
          <w:bCs/>
          <w:color w:val="002060"/>
          <w:kern w:val="32"/>
          <w:szCs w:val="24"/>
          <w:lang w:eastAsia="hr-HR"/>
        </w:rPr>
        <w:t>.</w:t>
      </w:r>
    </w:p>
    <w:p w:rsidR="00272AC7" w:rsidRDefault="00272AC7" w:rsidP="00272AC7">
      <w:pPr>
        <w:autoSpaceDE w:val="0"/>
        <w:autoSpaceDN w:val="0"/>
        <w:adjustRightInd w:val="0"/>
        <w:jc w:val="left"/>
        <w:rPr>
          <w:rFonts w:ascii="Times New Roman" w:hAnsi="Times New Roman" w:cs="Times New Roman"/>
          <w:b/>
          <w:bCs/>
          <w:color w:val="002060"/>
          <w:szCs w:val="24"/>
        </w:rPr>
      </w:pPr>
    </w:p>
    <w:p w:rsidR="00FA3102" w:rsidRDefault="00FA3102" w:rsidP="00272AC7">
      <w:pPr>
        <w:autoSpaceDE w:val="0"/>
        <w:autoSpaceDN w:val="0"/>
        <w:adjustRightInd w:val="0"/>
        <w:jc w:val="left"/>
        <w:rPr>
          <w:rFonts w:ascii="Times New Roman" w:hAnsi="Times New Roman" w:cs="Times New Roman"/>
          <w:b/>
          <w:bCs/>
          <w:color w:val="002060"/>
          <w:szCs w:val="24"/>
        </w:rPr>
      </w:pPr>
      <w:r>
        <w:rPr>
          <w:noProof/>
          <w:color w:val="002060"/>
          <w:lang w:eastAsia="hr-HR"/>
        </w:rPr>
        <mc:AlternateContent>
          <mc:Choice Requires="wps">
            <w:drawing>
              <wp:anchor distT="0" distB="0" distL="114300" distR="114300" simplePos="0" relativeHeight="251659264" behindDoc="1" locked="0" layoutInCell="1" allowOverlap="1" wp14:anchorId="2A79A445" wp14:editId="179FC150">
                <wp:simplePos x="0" y="0"/>
                <wp:positionH relativeFrom="column">
                  <wp:posOffset>697230</wp:posOffset>
                </wp:positionH>
                <wp:positionV relativeFrom="paragraph">
                  <wp:posOffset>121920</wp:posOffset>
                </wp:positionV>
                <wp:extent cx="4617720" cy="1203960"/>
                <wp:effectExtent l="0" t="0" r="11430" b="15240"/>
                <wp:wrapTight wrapText="bothSides">
                  <wp:wrapPolygon edited="0">
                    <wp:start x="446" y="0"/>
                    <wp:lineTo x="0" y="1709"/>
                    <wp:lineTo x="0" y="20165"/>
                    <wp:lineTo x="356" y="21532"/>
                    <wp:lineTo x="21208" y="21532"/>
                    <wp:lineTo x="21564" y="20165"/>
                    <wp:lineTo x="21564" y="1367"/>
                    <wp:lineTo x="21119" y="0"/>
                    <wp:lineTo x="446" y="0"/>
                  </wp:wrapPolygon>
                </wp:wrapTight>
                <wp:docPr id="2" name="Zaobljeni pravokutnik 2"/>
                <wp:cNvGraphicFramePr/>
                <a:graphic xmlns:a="http://schemas.openxmlformats.org/drawingml/2006/main">
                  <a:graphicData uri="http://schemas.microsoft.com/office/word/2010/wordprocessingShape">
                    <wps:wsp>
                      <wps:cNvSpPr/>
                      <wps:spPr>
                        <a:xfrm>
                          <a:off x="0" y="0"/>
                          <a:ext cx="4617720" cy="1203960"/>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FA3102" w:rsidRPr="008C737C" w:rsidRDefault="00FA3102" w:rsidP="00FA3102">
                            <w:pPr>
                              <w:overflowPunct w:val="0"/>
                              <w:autoSpaceDE w:val="0"/>
                              <w:autoSpaceDN w:val="0"/>
                              <w:adjustRightInd w:val="0"/>
                              <w:jc w:val="center"/>
                              <w:rPr>
                                <w:rFonts w:eastAsia="Times New Roman" w:cs="Times New Roman"/>
                                <w:b/>
                                <w:color w:val="002060"/>
                                <w:szCs w:val="20"/>
                                <w:lang w:eastAsia="hr-HR"/>
                              </w:rPr>
                            </w:pPr>
                            <w:r w:rsidRPr="00547FEE">
                              <w:rPr>
                                <w:b/>
                                <w:color w:val="002060"/>
                              </w:rPr>
                              <w:t xml:space="preserve">OBAVIJEST </w:t>
                            </w:r>
                            <w:r>
                              <w:rPr>
                                <w:b/>
                                <w:color w:val="002060"/>
                              </w:rPr>
                              <w:t xml:space="preserve">O </w:t>
                            </w:r>
                            <w:r w:rsidRPr="008C737C">
                              <w:rPr>
                                <w:rFonts w:eastAsia="Times New Roman" w:cs="Times New Roman"/>
                                <w:b/>
                                <w:color w:val="002060"/>
                                <w:szCs w:val="20"/>
                                <w:lang w:eastAsia="hr-HR"/>
                              </w:rPr>
                              <w:t>OBVEZI SASTAVLJANJA, DOSTAVLJANJA I OBJAVI</w:t>
                            </w:r>
                            <w:r>
                              <w:rPr>
                                <w:rFonts w:eastAsia="Times New Roman" w:cs="Times New Roman"/>
                                <w:b/>
                                <w:color w:val="002060"/>
                                <w:szCs w:val="20"/>
                                <w:lang w:eastAsia="hr-HR"/>
                              </w:rPr>
                              <w:t xml:space="preserve"> </w:t>
                            </w:r>
                            <w:r w:rsidRPr="008C737C">
                              <w:rPr>
                                <w:rFonts w:eastAsia="Times New Roman" w:cs="Times New Roman"/>
                                <w:b/>
                                <w:color w:val="002060"/>
                                <w:szCs w:val="20"/>
                                <w:lang w:eastAsia="hr-HR"/>
                              </w:rPr>
                              <w:t xml:space="preserve"> FINANCIJSKIH IZVJEŠTAJA ZA 201</w:t>
                            </w:r>
                            <w:r w:rsidR="0037642D">
                              <w:rPr>
                                <w:rFonts w:eastAsia="Times New Roman" w:cs="Times New Roman"/>
                                <w:b/>
                                <w:color w:val="002060"/>
                                <w:szCs w:val="20"/>
                                <w:lang w:eastAsia="hr-HR"/>
                              </w:rPr>
                              <w:t>9</w:t>
                            </w:r>
                            <w:r w:rsidRPr="008C737C">
                              <w:rPr>
                                <w:rFonts w:eastAsia="Times New Roman" w:cs="Times New Roman"/>
                                <w:b/>
                                <w:color w:val="002060"/>
                                <w:szCs w:val="20"/>
                                <w:lang w:eastAsia="hr-HR"/>
                              </w:rPr>
                              <w:t>. ZA:</w:t>
                            </w:r>
                          </w:p>
                          <w:p w:rsidR="00FA3102" w:rsidRPr="00FA3102" w:rsidRDefault="00FA3102" w:rsidP="00FA3102">
                            <w:pPr>
                              <w:overflowPunct w:val="0"/>
                              <w:autoSpaceDE w:val="0"/>
                              <w:autoSpaceDN w:val="0"/>
                              <w:adjustRightInd w:val="0"/>
                              <w:jc w:val="center"/>
                              <w:rPr>
                                <w:rFonts w:eastAsia="Times New Roman" w:cs="Times New Roman"/>
                                <w:b/>
                                <w:color w:val="002060"/>
                                <w:sz w:val="20"/>
                                <w:szCs w:val="20"/>
                                <w:lang w:eastAsia="hr-HR"/>
                              </w:rPr>
                            </w:pPr>
                          </w:p>
                          <w:p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POLITIČKE STRANKE</w:t>
                            </w:r>
                          </w:p>
                          <w:p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NEZAVISNE ZASTUPNIKE</w:t>
                            </w:r>
                          </w:p>
                          <w:p w:rsidR="00FA3102" w:rsidRPr="00FA3102" w:rsidRDefault="0037642D" w:rsidP="00FA3102">
                            <w:pPr>
                              <w:pStyle w:val="Odlomakpopisa"/>
                              <w:numPr>
                                <w:ilvl w:val="0"/>
                                <w:numId w:val="3"/>
                              </w:numPr>
                              <w:tabs>
                                <w:tab w:val="left" w:pos="1843"/>
                                <w:tab w:val="left" w:pos="3261"/>
                              </w:tabs>
                              <w:overflowPunct w:val="0"/>
                              <w:autoSpaceDE w:val="0"/>
                              <w:autoSpaceDN w:val="0"/>
                              <w:adjustRightInd w:val="0"/>
                              <w:ind w:left="3261" w:hanging="567"/>
                              <w:jc w:val="left"/>
                              <w:rPr>
                                <w:rFonts w:eastAsia="Times New Roman" w:cs="Times New Roman"/>
                                <w:b/>
                                <w:i/>
                                <w:color w:val="002060"/>
                                <w:sz w:val="20"/>
                                <w:szCs w:val="20"/>
                                <w:lang w:eastAsia="hr-HR"/>
                              </w:rPr>
                            </w:pPr>
                            <w:r>
                              <w:rPr>
                                <w:rFonts w:eastAsia="Times New Roman" w:cs="Times New Roman"/>
                                <w:b/>
                                <w:i/>
                                <w:color w:val="002060"/>
                                <w:sz w:val="20"/>
                                <w:szCs w:val="20"/>
                                <w:lang w:eastAsia="hr-HR"/>
                              </w:rPr>
                              <w:t>NEZAVISNE VIJEĆNIKE</w:t>
                            </w:r>
                          </w:p>
                          <w:p w:rsidR="00FA3102" w:rsidRPr="00FA3102" w:rsidRDefault="00FA3102" w:rsidP="00FA310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9A445" id="Zaobljeni pravokutnik 2" o:spid="_x0000_s1026" style="position:absolute;margin-left:54.9pt;margin-top:9.6pt;width:363.6pt;height:9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" fillcolor="white [3201]" strokecolor="#002060" strokeweight="2pt">
                <v:textbox>
                  <w:txbxContent>
                    <w:p w:rsidR="00FA3102" w:rsidRPr="008C737C" w:rsidRDefault="00FA3102" w:rsidP="00FA3102">
                      <w:pPr>
                        <w:overflowPunct w:val="0"/>
                        <w:autoSpaceDE w:val="0"/>
                        <w:autoSpaceDN w:val="0"/>
                        <w:adjustRightInd w:val="0"/>
                        <w:jc w:val="center"/>
                        <w:rPr>
                          <w:rFonts w:eastAsia="Times New Roman" w:cs="Times New Roman"/>
                          <w:b/>
                          <w:color w:val="002060"/>
                          <w:szCs w:val="20"/>
                          <w:lang w:eastAsia="hr-HR"/>
                        </w:rPr>
                      </w:pPr>
                      <w:r w:rsidRPr="00547FEE">
                        <w:rPr>
                          <w:b/>
                          <w:color w:val="002060"/>
                        </w:rPr>
                        <w:t xml:space="preserve">OBAVIJEST </w:t>
                      </w:r>
                      <w:r>
                        <w:rPr>
                          <w:b/>
                          <w:color w:val="002060"/>
                        </w:rPr>
                        <w:t xml:space="preserve">O </w:t>
                      </w:r>
                      <w:r w:rsidRPr="008C737C">
                        <w:rPr>
                          <w:rFonts w:eastAsia="Times New Roman" w:cs="Times New Roman"/>
                          <w:b/>
                          <w:color w:val="002060"/>
                          <w:szCs w:val="20"/>
                          <w:lang w:eastAsia="hr-HR"/>
                        </w:rPr>
                        <w:t>OBVEZI SASTAVLJANJA, DOSTAVLJANJA I OBJAVI</w:t>
                      </w:r>
                      <w:r>
                        <w:rPr>
                          <w:rFonts w:eastAsia="Times New Roman" w:cs="Times New Roman"/>
                          <w:b/>
                          <w:color w:val="002060"/>
                          <w:szCs w:val="20"/>
                          <w:lang w:eastAsia="hr-HR"/>
                        </w:rPr>
                        <w:t xml:space="preserve"> </w:t>
                      </w:r>
                      <w:r w:rsidRPr="008C737C">
                        <w:rPr>
                          <w:rFonts w:eastAsia="Times New Roman" w:cs="Times New Roman"/>
                          <w:b/>
                          <w:color w:val="002060"/>
                          <w:szCs w:val="20"/>
                          <w:lang w:eastAsia="hr-HR"/>
                        </w:rPr>
                        <w:t xml:space="preserve"> FINANCIJSKIH IZVJEŠTAJA ZA 201</w:t>
                      </w:r>
                      <w:r w:rsidR="0037642D">
                        <w:rPr>
                          <w:rFonts w:eastAsia="Times New Roman" w:cs="Times New Roman"/>
                          <w:b/>
                          <w:color w:val="002060"/>
                          <w:szCs w:val="20"/>
                          <w:lang w:eastAsia="hr-HR"/>
                        </w:rPr>
                        <w:t>9</w:t>
                      </w:r>
                      <w:r w:rsidRPr="008C737C">
                        <w:rPr>
                          <w:rFonts w:eastAsia="Times New Roman" w:cs="Times New Roman"/>
                          <w:b/>
                          <w:color w:val="002060"/>
                          <w:szCs w:val="20"/>
                          <w:lang w:eastAsia="hr-HR"/>
                        </w:rPr>
                        <w:t>. ZA:</w:t>
                      </w:r>
                    </w:p>
                    <w:p w:rsidR="00FA3102" w:rsidRPr="00FA3102" w:rsidRDefault="00FA3102" w:rsidP="00FA3102">
                      <w:pPr>
                        <w:overflowPunct w:val="0"/>
                        <w:autoSpaceDE w:val="0"/>
                        <w:autoSpaceDN w:val="0"/>
                        <w:adjustRightInd w:val="0"/>
                        <w:jc w:val="center"/>
                        <w:rPr>
                          <w:rFonts w:eastAsia="Times New Roman" w:cs="Times New Roman"/>
                          <w:b/>
                          <w:color w:val="002060"/>
                          <w:sz w:val="20"/>
                          <w:szCs w:val="20"/>
                          <w:lang w:eastAsia="hr-HR"/>
                        </w:rPr>
                      </w:pPr>
                    </w:p>
                    <w:p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POLITIČKE STRANKE</w:t>
                      </w:r>
                    </w:p>
                    <w:p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NEZAVISNE ZASTUPNIKE</w:t>
                      </w:r>
                    </w:p>
                    <w:p w:rsidR="00FA3102" w:rsidRPr="00FA3102" w:rsidRDefault="0037642D" w:rsidP="00FA3102">
                      <w:pPr>
                        <w:pStyle w:val="Odlomakpopisa"/>
                        <w:numPr>
                          <w:ilvl w:val="0"/>
                          <w:numId w:val="3"/>
                        </w:numPr>
                        <w:tabs>
                          <w:tab w:val="left" w:pos="1843"/>
                          <w:tab w:val="left" w:pos="3261"/>
                        </w:tabs>
                        <w:overflowPunct w:val="0"/>
                        <w:autoSpaceDE w:val="0"/>
                        <w:autoSpaceDN w:val="0"/>
                        <w:adjustRightInd w:val="0"/>
                        <w:ind w:left="3261" w:hanging="567"/>
                        <w:jc w:val="left"/>
                        <w:rPr>
                          <w:rFonts w:eastAsia="Times New Roman" w:cs="Times New Roman"/>
                          <w:b/>
                          <w:i/>
                          <w:color w:val="002060"/>
                          <w:sz w:val="20"/>
                          <w:szCs w:val="20"/>
                          <w:lang w:eastAsia="hr-HR"/>
                        </w:rPr>
                      </w:pPr>
                      <w:r>
                        <w:rPr>
                          <w:rFonts w:eastAsia="Times New Roman" w:cs="Times New Roman"/>
                          <w:b/>
                          <w:i/>
                          <w:color w:val="002060"/>
                          <w:sz w:val="20"/>
                          <w:szCs w:val="20"/>
                          <w:lang w:eastAsia="hr-HR"/>
                        </w:rPr>
                        <w:t>NEZAVISNE VIJEĆNIKE</w:t>
                      </w:r>
                    </w:p>
                    <w:p w:rsidR="00FA3102" w:rsidRPr="00FA3102" w:rsidRDefault="00FA3102" w:rsidP="00FA3102">
                      <w:pPr>
                        <w:jc w:val="center"/>
                        <w:rPr>
                          <w:sz w:val="20"/>
                          <w:szCs w:val="20"/>
                        </w:rPr>
                      </w:pPr>
                    </w:p>
                  </w:txbxContent>
                </v:textbox>
                <w10:wrap type="tight"/>
              </v:roundrect>
            </w:pict>
          </mc:Fallback>
        </mc:AlternateContent>
      </w:r>
    </w:p>
    <w:p w:rsidR="00FA3102" w:rsidRDefault="00FA3102" w:rsidP="00272AC7">
      <w:pPr>
        <w:autoSpaceDE w:val="0"/>
        <w:autoSpaceDN w:val="0"/>
        <w:adjustRightInd w:val="0"/>
        <w:jc w:val="left"/>
        <w:rPr>
          <w:rFonts w:ascii="Times New Roman" w:hAnsi="Times New Roman" w:cs="Times New Roman"/>
          <w:b/>
          <w:bCs/>
          <w:color w:val="002060"/>
          <w:szCs w:val="24"/>
        </w:rPr>
      </w:pPr>
    </w:p>
    <w:p w:rsidR="00FA3102" w:rsidRDefault="00FA3102" w:rsidP="00272AC7">
      <w:pPr>
        <w:autoSpaceDE w:val="0"/>
        <w:autoSpaceDN w:val="0"/>
        <w:adjustRightInd w:val="0"/>
        <w:jc w:val="left"/>
        <w:rPr>
          <w:rFonts w:ascii="Times New Roman" w:hAnsi="Times New Roman" w:cs="Times New Roman"/>
          <w:b/>
          <w:bCs/>
          <w:color w:val="002060"/>
          <w:szCs w:val="24"/>
        </w:rPr>
      </w:pPr>
    </w:p>
    <w:p w:rsidR="00FA3102" w:rsidRPr="008C737C" w:rsidRDefault="00FA3102" w:rsidP="00272AC7">
      <w:pPr>
        <w:autoSpaceDE w:val="0"/>
        <w:autoSpaceDN w:val="0"/>
        <w:adjustRightInd w:val="0"/>
        <w:jc w:val="left"/>
        <w:rPr>
          <w:rFonts w:ascii="Times New Roman" w:hAnsi="Times New Roman" w:cs="Times New Roman"/>
          <w:b/>
          <w:bCs/>
          <w:color w:val="002060"/>
          <w:szCs w:val="24"/>
        </w:rPr>
      </w:pPr>
    </w:p>
    <w:p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rsidR="00F62D84" w:rsidRPr="008C737C" w:rsidRDefault="00272AC7" w:rsidP="00F53AA3">
      <w:pPr>
        <w:autoSpaceDE w:val="0"/>
        <w:autoSpaceDN w:val="0"/>
        <w:adjustRightInd w:val="0"/>
        <w:ind w:firstLine="567"/>
        <w:rPr>
          <w:rFonts w:eastAsia="Times New Roman" w:cs="Times New Roman"/>
          <w:color w:val="002060"/>
          <w:szCs w:val="20"/>
          <w:lang w:eastAsia="hr-HR"/>
        </w:rPr>
      </w:pPr>
      <w:r w:rsidRPr="008C737C">
        <w:rPr>
          <w:rFonts w:cs="Arial"/>
          <w:bCs/>
          <w:color w:val="002060"/>
          <w:szCs w:val="24"/>
        </w:rPr>
        <w:t>Prema odredb</w:t>
      </w:r>
      <w:r w:rsidR="002565E9">
        <w:rPr>
          <w:rFonts w:cs="Arial"/>
          <w:bCs/>
          <w:color w:val="002060"/>
          <w:szCs w:val="24"/>
        </w:rPr>
        <w:t>i</w:t>
      </w:r>
      <w:r w:rsidRPr="008C737C">
        <w:rPr>
          <w:rFonts w:cs="Arial"/>
          <w:bCs/>
          <w:color w:val="002060"/>
          <w:szCs w:val="24"/>
        </w:rPr>
        <w:t xml:space="preserve"> </w:t>
      </w:r>
      <w:r w:rsidRPr="001A7479">
        <w:rPr>
          <w:rFonts w:cs="Arial"/>
          <w:bCs/>
          <w:color w:val="002060"/>
          <w:szCs w:val="24"/>
        </w:rPr>
        <w:t xml:space="preserve">članka </w:t>
      </w:r>
      <w:r w:rsidR="0037642D">
        <w:rPr>
          <w:rFonts w:cs="Arial"/>
          <w:bCs/>
          <w:color w:val="002060"/>
          <w:szCs w:val="24"/>
        </w:rPr>
        <w:t>52</w:t>
      </w:r>
      <w:r w:rsidRPr="001A7479">
        <w:rPr>
          <w:rFonts w:cs="Arial"/>
          <w:bCs/>
          <w:color w:val="002060"/>
          <w:szCs w:val="24"/>
        </w:rPr>
        <w:t>.</w:t>
      </w:r>
      <w:r w:rsidRPr="008C737C">
        <w:rPr>
          <w:rFonts w:cs="Arial"/>
          <w:b/>
          <w:bCs/>
          <w:color w:val="002060"/>
          <w:szCs w:val="24"/>
        </w:rPr>
        <w:t xml:space="preserve"> Zakona o financiranju političkih aktivnosti</w:t>
      </w:r>
      <w:r w:rsidR="0037642D">
        <w:rPr>
          <w:rFonts w:cs="Arial"/>
          <w:b/>
          <w:bCs/>
          <w:color w:val="002060"/>
          <w:szCs w:val="24"/>
        </w:rPr>
        <w:t xml:space="preserve">, </w:t>
      </w:r>
      <w:r w:rsidRPr="008C737C">
        <w:rPr>
          <w:rFonts w:cs="Arial"/>
          <w:b/>
          <w:bCs/>
          <w:color w:val="002060"/>
          <w:szCs w:val="24"/>
        </w:rPr>
        <w:t>izborne promidžbe</w:t>
      </w:r>
      <w:r w:rsidRPr="008C737C">
        <w:rPr>
          <w:rFonts w:cs="Arial"/>
          <w:bCs/>
          <w:color w:val="002060"/>
          <w:szCs w:val="24"/>
        </w:rPr>
        <w:t xml:space="preserve"> </w:t>
      </w:r>
      <w:r w:rsidR="0037642D" w:rsidRPr="0037642D">
        <w:rPr>
          <w:rFonts w:cs="Arial"/>
          <w:b/>
          <w:bCs/>
          <w:color w:val="002060"/>
          <w:szCs w:val="24"/>
        </w:rPr>
        <w:t>i referenduma</w:t>
      </w:r>
      <w:r w:rsidR="0037642D">
        <w:rPr>
          <w:rFonts w:cs="Arial"/>
          <w:bCs/>
          <w:color w:val="002060"/>
          <w:szCs w:val="24"/>
        </w:rPr>
        <w:t xml:space="preserve"> </w:t>
      </w:r>
      <w:r w:rsidRPr="008C737C">
        <w:rPr>
          <w:rFonts w:cs="Arial"/>
          <w:bCs/>
          <w:color w:val="002060"/>
          <w:szCs w:val="24"/>
        </w:rPr>
        <w:t>(Narodne novine</w:t>
      </w:r>
      <w:r w:rsidR="002C5E28">
        <w:rPr>
          <w:rFonts w:cs="Arial"/>
          <w:bCs/>
          <w:color w:val="002060"/>
          <w:szCs w:val="24"/>
        </w:rPr>
        <w:t xml:space="preserve"> 29/19 i 98/19</w:t>
      </w:r>
      <w:r w:rsidRPr="008C737C">
        <w:rPr>
          <w:rFonts w:cs="Arial"/>
          <w:bCs/>
          <w:color w:val="002060"/>
          <w:szCs w:val="24"/>
        </w:rPr>
        <w:t xml:space="preserve">), </w:t>
      </w:r>
      <w:r w:rsidRPr="008C737C">
        <w:rPr>
          <w:rFonts w:cs="Arial"/>
          <w:b/>
          <w:bCs/>
          <w:color w:val="002060"/>
          <w:szCs w:val="24"/>
        </w:rPr>
        <w:t>političk</w:t>
      </w:r>
      <w:r w:rsidR="00C0615E" w:rsidRPr="008C737C">
        <w:rPr>
          <w:rFonts w:cs="Arial"/>
          <w:b/>
          <w:bCs/>
          <w:color w:val="002060"/>
          <w:szCs w:val="24"/>
        </w:rPr>
        <w:t>e stranke, nezavisni zastupnici i</w:t>
      </w:r>
      <w:r w:rsidRPr="008C737C">
        <w:rPr>
          <w:rFonts w:cs="Arial"/>
          <w:b/>
          <w:bCs/>
          <w:color w:val="002060"/>
          <w:szCs w:val="24"/>
        </w:rPr>
        <w:t xml:space="preserve"> </w:t>
      </w:r>
      <w:r w:rsidR="002C3803">
        <w:rPr>
          <w:rFonts w:cs="Arial"/>
          <w:b/>
          <w:bCs/>
          <w:color w:val="002060"/>
          <w:szCs w:val="24"/>
        </w:rPr>
        <w:t>nezavisni vijećnici</w:t>
      </w:r>
      <w:r w:rsidR="002C3803" w:rsidRPr="00A82DFA">
        <w:rPr>
          <w:rStyle w:val="Referencafusnote"/>
          <w:rFonts w:cs="Arial"/>
          <w:bCs/>
          <w:color w:val="002060"/>
          <w:szCs w:val="24"/>
        </w:rPr>
        <w:footnoteReference w:id="1"/>
      </w:r>
      <w:r w:rsidRPr="00A82DFA">
        <w:rPr>
          <w:rFonts w:cs="Arial"/>
          <w:bCs/>
          <w:color w:val="002060"/>
          <w:szCs w:val="24"/>
        </w:rPr>
        <w:t>,</w:t>
      </w:r>
      <w:r w:rsidRPr="008C737C">
        <w:rPr>
          <w:rFonts w:cs="Arial"/>
          <w:bCs/>
          <w:color w:val="002060"/>
          <w:szCs w:val="24"/>
        </w:rPr>
        <w:t xml:space="preserve"> dužni su sastavljati financijsk</w:t>
      </w:r>
      <w:r w:rsidR="002C3803">
        <w:rPr>
          <w:rFonts w:cs="Arial"/>
          <w:bCs/>
          <w:color w:val="002060"/>
          <w:szCs w:val="24"/>
        </w:rPr>
        <w:t>i</w:t>
      </w:r>
      <w:r w:rsidRPr="008C737C">
        <w:rPr>
          <w:rFonts w:cs="Arial"/>
          <w:bCs/>
          <w:color w:val="002060"/>
          <w:szCs w:val="24"/>
        </w:rPr>
        <w:t xml:space="preserve"> izvještaj </w:t>
      </w:r>
      <w:r w:rsidR="008856BB">
        <w:rPr>
          <w:rFonts w:cs="Arial"/>
          <w:bCs/>
          <w:color w:val="002060"/>
          <w:szCs w:val="24"/>
        </w:rPr>
        <w:t xml:space="preserve">(za izvještajno razdoblje od 1. siječnja do 31. prosinca) </w:t>
      </w:r>
      <w:r w:rsidRPr="008C737C">
        <w:rPr>
          <w:rFonts w:cs="Arial"/>
          <w:bCs/>
          <w:color w:val="002060"/>
          <w:szCs w:val="24"/>
        </w:rPr>
        <w:t xml:space="preserve">na način koji je </w:t>
      </w:r>
      <w:r w:rsidR="008856BB">
        <w:rPr>
          <w:rFonts w:cs="Arial"/>
          <w:bCs/>
          <w:color w:val="002060"/>
          <w:szCs w:val="24"/>
        </w:rPr>
        <w:t xml:space="preserve">prema propisima </w:t>
      </w:r>
      <w:r w:rsidRPr="008C737C">
        <w:rPr>
          <w:rFonts w:cs="Arial"/>
          <w:bCs/>
          <w:color w:val="002060"/>
          <w:szCs w:val="24"/>
        </w:rPr>
        <w:t>o vođenju računovodstva neprofitnih organizacija</w:t>
      </w:r>
      <w:r w:rsidR="008856BB">
        <w:rPr>
          <w:rFonts w:cs="Arial"/>
          <w:bCs/>
          <w:color w:val="002060"/>
          <w:szCs w:val="24"/>
        </w:rPr>
        <w:t xml:space="preserve"> propisan za neprofi</w:t>
      </w:r>
      <w:r w:rsidR="003A0DF2">
        <w:rPr>
          <w:rFonts w:cs="Arial"/>
          <w:bCs/>
          <w:color w:val="002060"/>
          <w:szCs w:val="24"/>
        </w:rPr>
        <w:t>t</w:t>
      </w:r>
      <w:r w:rsidR="008856BB">
        <w:rPr>
          <w:rFonts w:cs="Arial"/>
          <w:bCs/>
          <w:color w:val="002060"/>
          <w:szCs w:val="24"/>
        </w:rPr>
        <w:t xml:space="preserve">ne organizacije koje vode dvojno odnosno jednostavno knjigovodstvo, </w:t>
      </w:r>
      <w:r w:rsidR="008856BB" w:rsidRPr="00FC5007">
        <w:rPr>
          <w:rFonts w:cs="Arial"/>
          <w:b/>
          <w:bCs/>
          <w:color w:val="002060"/>
          <w:szCs w:val="24"/>
        </w:rPr>
        <w:t>ovisno o vrijednosti imovine i visini ostvarenih prihoda u godini koja prethodi godini za koju se sastavljaju financijski izvještaji.</w:t>
      </w:r>
      <w:r w:rsidR="008856BB">
        <w:rPr>
          <w:rFonts w:cs="Arial"/>
          <w:bCs/>
          <w:color w:val="002060"/>
          <w:szCs w:val="24"/>
        </w:rPr>
        <w:t xml:space="preserve"> </w:t>
      </w:r>
      <w:r w:rsidR="00F62D84" w:rsidRPr="008C737C">
        <w:rPr>
          <w:rFonts w:eastAsia="Times New Roman" w:cs="Times New Roman"/>
          <w:color w:val="002060"/>
          <w:szCs w:val="20"/>
          <w:lang w:eastAsia="hr-HR"/>
        </w:rPr>
        <w:t xml:space="preserve"> </w:t>
      </w:r>
    </w:p>
    <w:p w:rsidR="003602C4" w:rsidRPr="008C737C" w:rsidRDefault="003602C4" w:rsidP="00F53AA3">
      <w:pPr>
        <w:autoSpaceDE w:val="0"/>
        <w:autoSpaceDN w:val="0"/>
        <w:adjustRightInd w:val="0"/>
        <w:ind w:firstLine="567"/>
        <w:rPr>
          <w:color w:val="002060"/>
        </w:rPr>
      </w:pPr>
      <w:r w:rsidRPr="00B21E8F">
        <w:rPr>
          <w:color w:val="002060"/>
        </w:rPr>
        <w:t xml:space="preserve">Prema odredbama članka 2. </w:t>
      </w:r>
      <w:r w:rsidRPr="00B21E8F">
        <w:rPr>
          <w:b/>
          <w:color w:val="002060"/>
        </w:rPr>
        <w:t>Zakona o financijskom poslovanju i računovodstvu neprofitnih organizacija</w:t>
      </w:r>
      <w:r w:rsidR="001A7479" w:rsidRPr="00B21E8F">
        <w:rPr>
          <w:color w:val="002060"/>
        </w:rPr>
        <w:t xml:space="preserve"> (Narodne novine 121/14), </w:t>
      </w:r>
      <w:r w:rsidRPr="00B21E8F">
        <w:rPr>
          <w:color w:val="002060"/>
        </w:rPr>
        <w:t xml:space="preserve">na </w:t>
      </w:r>
      <w:r w:rsidRPr="00B21E8F">
        <w:rPr>
          <w:b/>
          <w:color w:val="002060"/>
        </w:rPr>
        <w:t>političke stranke</w:t>
      </w:r>
      <w:r w:rsidRPr="00B21E8F">
        <w:rPr>
          <w:color w:val="002060"/>
        </w:rPr>
        <w:t xml:space="preserve"> </w:t>
      </w:r>
      <w:r w:rsidR="001A7479" w:rsidRPr="00B21E8F">
        <w:rPr>
          <w:color w:val="002060"/>
        </w:rPr>
        <w:t xml:space="preserve">odnose </w:t>
      </w:r>
      <w:r w:rsidR="00C6565D" w:rsidRPr="00B21E8F">
        <w:rPr>
          <w:color w:val="002060"/>
        </w:rPr>
        <w:t>se</w:t>
      </w:r>
      <w:r w:rsidR="00C6565D" w:rsidRPr="008C737C">
        <w:rPr>
          <w:color w:val="002060"/>
        </w:rPr>
        <w:t xml:space="preserve"> </w:t>
      </w:r>
      <w:r w:rsidRPr="008C737C">
        <w:rPr>
          <w:color w:val="002060"/>
        </w:rPr>
        <w:t xml:space="preserve">odredbe </w:t>
      </w:r>
      <w:r w:rsidR="001A7479">
        <w:rPr>
          <w:color w:val="002060"/>
        </w:rPr>
        <w:t>o vođenju</w:t>
      </w:r>
      <w:r w:rsidRPr="008C737C">
        <w:rPr>
          <w:color w:val="002060"/>
        </w:rPr>
        <w:t xml:space="preserve"> poslovnih knjiga i upis u Registar neprofitnih organizacija</w:t>
      </w:r>
      <w:r w:rsidR="001A7479">
        <w:rPr>
          <w:color w:val="002060"/>
        </w:rPr>
        <w:t>. N</w:t>
      </w:r>
      <w:r w:rsidRPr="008C737C">
        <w:rPr>
          <w:color w:val="002060"/>
        </w:rPr>
        <w:t xml:space="preserve">ačin vođenja, upis, promjena podataka i brisanje iz Registra, propisani su odredbama članaka 33. do 36. te članka 46. Zakona o financijskom poslovanju i računovodstvu neprofitnih organizacija. </w:t>
      </w:r>
    </w:p>
    <w:p w:rsidR="008F0CA4" w:rsidRDefault="00C6565D" w:rsidP="00807B8B">
      <w:pPr>
        <w:autoSpaceDE w:val="0"/>
        <w:autoSpaceDN w:val="0"/>
        <w:adjustRightInd w:val="0"/>
        <w:rPr>
          <w:color w:val="002060"/>
        </w:rPr>
      </w:pPr>
      <w:r>
        <w:rPr>
          <w:noProof/>
          <w:color w:val="002060"/>
          <w:lang w:eastAsia="hr-HR"/>
        </w:rPr>
        <mc:AlternateContent>
          <mc:Choice Requires="wps">
            <w:drawing>
              <wp:anchor distT="0" distB="0" distL="114300" distR="114300" simplePos="0" relativeHeight="251661312" behindDoc="1" locked="0" layoutInCell="1" allowOverlap="1" wp14:anchorId="418199E9" wp14:editId="23FA4EB2">
                <wp:simplePos x="0" y="0"/>
                <wp:positionH relativeFrom="margin">
                  <wp:posOffset>-15240</wp:posOffset>
                </wp:positionH>
                <wp:positionV relativeFrom="paragraph">
                  <wp:posOffset>179705</wp:posOffset>
                </wp:positionV>
                <wp:extent cx="4705350" cy="285750"/>
                <wp:effectExtent l="0" t="0" r="19050" b="19050"/>
                <wp:wrapTight wrapText="bothSides">
                  <wp:wrapPolygon edited="0">
                    <wp:start x="0" y="0"/>
                    <wp:lineTo x="0" y="21600"/>
                    <wp:lineTo x="21600" y="21600"/>
                    <wp:lineTo x="21600" y="0"/>
                    <wp:lineTo x="0" y="0"/>
                  </wp:wrapPolygon>
                </wp:wrapTight>
                <wp:docPr id="3" name="Zaobljeni pravokutnik 3"/>
                <wp:cNvGraphicFramePr/>
                <a:graphic xmlns:a="http://schemas.openxmlformats.org/drawingml/2006/main">
                  <a:graphicData uri="http://schemas.microsoft.com/office/word/2010/wordprocessingShape">
                    <wps:wsp>
                      <wps:cNvSpPr/>
                      <wps:spPr>
                        <a:xfrm>
                          <a:off x="0" y="0"/>
                          <a:ext cx="4705350" cy="285750"/>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8F0CA4" w:rsidRPr="008F0CA4" w:rsidRDefault="008F0CA4" w:rsidP="008F0CA4">
                            <w:pPr>
                              <w:overflowPunct w:val="0"/>
                              <w:autoSpaceDE w:val="0"/>
                              <w:autoSpaceDN w:val="0"/>
                              <w:adjustRightInd w:val="0"/>
                              <w:rPr>
                                <w:b/>
                                <w:color w:val="002060"/>
                              </w:rPr>
                            </w:pPr>
                            <w:r w:rsidRPr="008F0CA4">
                              <w:rPr>
                                <w:b/>
                                <w:i/>
                                <w:color w:val="002060"/>
                                <w:sz w:val="22"/>
                              </w:rPr>
                              <w:t>SASTAVLJANJE I PREDAJA FINANCIJSKIH IZVJEŠTAJA ZA 201</w:t>
                            </w:r>
                            <w:r w:rsidR="00DF1D03">
                              <w:rPr>
                                <w:b/>
                                <w:i/>
                                <w:color w:val="002060"/>
                                <w:sz w:val="22"/>
                              </w:rPr>
                              <w:t>9</w:t>
                            </w:r>
                            <w:r w:rsidRPr="008F0CA4">
                              <w:rPr>
                                <w:b/>
                                <w:i/>
                                <w:color w:val="002060"/>
                                <w:sz w:val="22"/>
                              </w:rPr>
                              <w:t>.</w:t>
                            </w:r>
                          </w:p>
                          <w:p w:rsidR="008F0CA4" w:rsidRPr="00FA3102" w:rsidRDefault="008F0CA4" w:rsidP="008F0CA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199E9" id="Zaobljeni pravokutnik 3" o:spid="_x0000_s1027" style="position:absolute;left:0;text-align:left;margin-left:-1.2pt;margin-top:14.15pt;width:370.5pt;height: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" fillcolor="white [3201]" strokecolor="#002060" strokeweight="2pt">
                <v:textbox>
                  <w:txbxContent>
                    <w:p w:rsidR="008F0CA4" w:rsidRPr="008F0CA4" w:rsidRDefault="008F0CA4" w:rsidP="008F0CA4">
                      <w:pPr>
                        <w:overflowPunct w:val="0"/>
                        <w:autoSpaceDE w:val="0"/>
                        <w:autoSpaceDN w:val="0"/>
                        <w:adjustRightInd w:val="0"/>
                        <w:rPr>
                          <w:b/>
                          <w:color w:val="002060"/>
                        </w:rPr>
                      </w:pPr>
                      <w:r w:rsidRPr="008F0CA4">
                        <w:rPr>
                          <w:b/>
                          <w:i/>
                          <w:color w:val="002060"/>
                          <w:sz w:val="22"/>
                        </w:rPr>
                        <w:t>SASTAVLJANJE I PREDAJA FINANCIJSKIH IZVJEŠTAJA ZA 201</w:t>
                      </w:r>
                      <w:r w:rsidR="00DF1D03">
                        <w:rPr>
                          <w:b/>
                          <w:i/>
                          <w:color w:val="002060"/>
                          <w:sz w:val="22"/>
                        </w:rPr>
                        <w:t>9</w:t>
                      </w:r>
                      <w:r w:rsidRPr="008F0CA4">
                        <w:rPr>
                          <w:b/>
                          <w:i/>
                          <w:color w:val="002060"/>
                          <w:sz w:val="22"/>
                        </w:rPr>
                        <w:t>.</w:t>
                      </w:r>
                    </w:p>
                    <w:p w:rsidR="008F0CA4" w:rsidRPr="00FA3102" w:rsidRDefault="008F0CA4" w:rsidP="008F0CA4">
                      <w:pPr>
                        <w:jc w:val="center"/>
                        <w:rPr>
                          <w:sz w:val="20"/>
                          <w:szCs w:val="20"/>
                        </w:rPr>
                      </w:pPr>
                    </w:p>
                  </w:txbxContent>
                </v:textbox>
                <w10:wrap type="tight" anchorx="margin"/>
              </v:roundrect>
            </w:pict>
          </mc:Fallback>
        </mc:AlternateContent>
      </w:r>
    </w:p>
    <w:p w:rsidR="008F0CA4" w:rsidRDefault="008F0CA4" w:rsidP="00807B8B">
      <w:pPr>
        <w:autoSpaceDE w:val="0"/>
        <w:autoSpaceDN w:val="0"/>
        <w:adjustRightInd w:val="0"/>
        <w:rPr>
          <w:color w:val="002060"/>
        </w:rPr>
      </w:pPr>
    </w:p>
    <w:p w:rsidR="008F0CA4" w:rsidRDefault="008F0CA4" w:rsidP="00807B8B">
      <w:pPr>
        <w:autoSpaceDE w:val="0"/>
        <w:autoSpaceDN w:val="0"/>
        <w:adjustRightInd w:val="0"/>
        <w:rPr>
          <w:color w:val="002060"/>
        </w:rPr>
      </w:pPr>
    </w:p>
    <w:p w:rsidR="008F0CA4" w:rsidRDefault="008F0CA4" w:rsidP="00807B8B">
      <w:pPr>
        <w:autoSpaceDE w:val="0"/>
        <w:autoSpaceDN w:val="0"/>
        <w:adjustRightInd w:val="0"/>
        <w:rPr>
          <w:color w:val="002060"/>
        </w:rPr>
      </w:pPr>
    </w:p>
    <w:p w:rsidR="008856BB" w:rsidRDefault="003602C4" w:rsidP="00C413F0">
      <w:pPr>
        <w:tabs>
          <w:tab w:val="left" w:pos="567"/>
        </w:tabs>
        <w:rPr>
          <w:color w:val="002060"/>
        </w:rPr>
      </w:pPr>
      <w:r w:rsidRPr="008C737C">
        <w:rPr>
          <w:b/>
          <w:color w:val="002060"/>
        </w:rPr>
        <w:tab/>
      </w:r>
      <w:r w:rsidR="005D35C2" w:rsidRPr="005D35C2">
        <w:rPr>
          <w:b/>
          <w:color w:val="002060"/>
        </w:rPr>
        <w:t xml:space="preserve">Financijski izvještaji sastavljaju </w:t>
      </w:r>
      <w:r w:rsidR="00C6565D" w:rsidRPr="005D35C2">
        <w:rPr>
          <w:b/>
          <w:color w:val="002060"/>
        </w:rPr>
        <w:t xml:space="preserve">se </w:t>
      </w:r>
      <w:r w:rsidR="005D35C2" w:rsidRPr="005D35C2">
        <w:rPr>
          <w:b/>
          <w:color w:val="002060"/>
        </w:rPr>
        <w:t>u skladu sa Zakonom o financijskom poslovanju i računovodstvu neprofitnih organizacija</w:t>
      </w:r>
      <w:r w:rsidR="005D35C2" w:rsidRPr="005D35C2">
        <w:rPr>
          <w:color w:val="002060"/>
        </w:rPr>
        <w:t xml:space="preserve"> (financijsko izvještavanje je propisano odredbama članka 28. do 32. navedenog Zakona).</w:t>
      </w:r>
      <w:r w:rsidR="005D35C2">
        <w:rPr>
          <w:b/>
          <w:color w:val="002060"/>
        </w:rPr>
        <w:t xml:space="preserve"> </w:t>
      </w:r>
      <w:r w:rsidR="000C0B18">
        <w:rPr>
          <w:color w:val="002060"/>
        </w:rPr>
        <w:t>Oblik i sadržaj financijskih izvještaja</w:t>
      </w:r>
      <w:r w:rsidR="006C36F8">
        <w:rPr>
          <w:color w:val="002060"/>
        </w:rPr>
        <w:t xml:space="preserve"> i izjave o neaktivnosti</w:t>
      </w:r>
      <w:r w:rsidR="000C0B18">
        <w:rPr>
          <w:color w:val="002060"/>
        </w:rPr>
        <w:t>, razdoblja za koja se financijski izvještaji sastavljaju te obveza i rokovi njihovog podnošenja</w:t>
      </w:r>
      <w:r w:rsidR="00C6565D">
        <w:rPr>
          <w:color w:val="002060"/>
        </w:rPr>
        <w:t>,</w:t>
      </w:r>
      <w:r w:rsidR="000C0B18">
        <w:rPr>
          <w:color w:val="002060"/>
        </w:rPr>
        <w:t xml:space="preserve"> propisani su Pravilnikom o izvještavanju u neprofitnom računovodstvu i Registru neprofitnih organizacija (Narodne </w:t>
      </w:r>
      <w:r w:rsidR="000C0B18" w:rsidRPr="00A538E6">
        <w:rPr>
          <w:color w:val="002060"/>
        </w:rPr>
        <w:t>novine 31/15</w:t>
      </w:r>
      <w:r w:rsidR="00B32FB6" w:rsidRPr="00A538E6">
        <w:rPr>
          <w:color w:val="002060"/>
        </w:rPr>
        <w:t xml:space="preserve">, </w:t>
      </w:r>
      <w:r w:rsidR="004A5F64" w:rsidRPr="00A538E6">
        <w:rPr>
          <w:color w:val="002060"/>
        </w:rPr>
        <w:t>67/17</w:t>
      </w:r>
      <w:r w:rsidR="00B32FB6" w:rsidRPr="00A538E6">
        <w:rPr>
          <w:color w:val="002060"/>
        </w:rPr>
        <w:t xml:space="preserve"> </w:t>
      </w:r>
      <w:r w:rsidR="00C413F0" w:rsidRPr="00A538E6">
        <w:rPr>
          <w:color w:val="002060"/>
        </w:rPr>
        <w:t>i</w:t>
      </w:r>
      <w:r w:rsidR="00B32FB6" w:rsidRPr="00A538E6">
        <w:rPr>
          <w:color w:val="002060"/>
        </w:rPr>
        <w:t xml:space="preserve"> 115/18</w:t>
      </w:r>
      <w:r w:rsidR="000C0B18" w:rsidRPr="00A538E6">
        <w:rPr>
          <w:color w:val="002060"/>
        </w:rPr>
        <w:t>).</w:t>
      </w:r>
      <w:r w:rsidR="000C0B18">
        <w:rPr>
          <w:color w:val="002060"/>
        </w:rPr>
        <w:t xml:space="preserve"> </w:t>
      </w:r>
    </w:p>
    <w:p w:rsidR="00C6565D" w:rsidRDefault="00C6565D" w:rsidP="00C413F0">
      <w:pPr>
        <w:tabs>
          <w:tab w:val="left" w:pos="567"/>
        </w:tabs>
        <w:rPr>
          <w:color w:val="002060"/>
        </w:rPr>
      </w:pPr>
    </w:p>
    <w:p w:rsidR="00623AA4" w:rsidRDefault="00623AA4" w:rsidP="00C413F0">
      <w:pPr>
        <w:tabs>
          <w:tab w:val="left" w:pos="567"/>
        </w:tabs>
        <w:rPr>
          <w:color w:val="002060"/>
        </w:rPr>
        <w:sectPr w:rsidR="00623AA4" w:rsidSect="009B7873">
          <w:headerReference w:type="default" r:id="rId9"/>
          <w:type w:val="continuous"/>
          <w:pgSz w:w="11906" w:h="16838" w:code="9"/>
          <w:pgMar w:top="1134" w:right="1134" w:bottom="1134" w:left="1134" w:header="567" w:footer="567" w:gutter="0"/>
          <w:pgNumType w:start="2"/>
          <w:cols w:space="708"/>
          <w:docGrid w:linePitch="360"/>
        </w:sectPr>
      </w:pPr>
    </w:p>
    <w:p w:rsidR="00A82DFA" w:rsidRDefault="000C0B18" w:rsidP="0003596D">
      <w:pPr>
        <w:tabs>
          <w:tab w:val="left" w:pos="567"/>
        </w:tabs>
        <w:rPr>
          <w:color w:val="002060"/>
        </w:rPr>
      </w:pPr>
      <w:r>
        <w:rPr>
          <w:color w:val="002060"/>
        </w:rPr>
        <w:lastRenderedPageBreak/>
        <w:t xml:space="preserve"> </w:t>
      </w:r>
      <w:r w:rsidR="003602C4" w:rsidRPr="008C737C">
        <w:rPr>
          <w:color w:val="002060"/>
        </w:rPr>
        <w:t xml:space="preserve"> </w:t>
      </w:r>
      <w:r w:rsidR="006870BE">
        <w:rPr>
          <w:rFonts w:eastAsia="Times New Roman" w:cs="Times New Roman"/>
          <w:color w:val="002060"/>
          <w:szCs w:val="20"/>
          <w:lang w:eastAsia="hr-HR"/>
        </w:rPr>
        <w:tab/>
        <w:t>F</w:t>
      </w:r>
      <w:r w:rsidR="00272AC7" w:rsidRPr="008C737C">
        <w:rPr>
          <w:rFonts w:eastAsia="Times New Roman" w:cs="Times New Roman"/>
          <w:color w:val="002060"/>
          <w:szCs w:val="20"/>
          <w:lang w:eastAsia="hr-HR"/>
        </w:rPr>
        <w:t>inancijski</w:t>
      </w:r>
      <w:r w:rsidR="006870BE">
        <w:rPr>
          <w:rFonts w:eastAsia="Times New Roman" w:cs="Times New Roman"/>
          <w:color w:val="002060"/>
          <w:szCs w:val="20"/>
          <w:lang w:eastAsia="hr-HR"/>
        </w:rPr>
        <w:t xml:space="preserve"> izvještaji za 201</w:t>
      </w:r>
      <w:r w:rsidR="008856BB">
        <w:rPr>
          <w:rFonts w:eastAsia="Times New Roman" w:cs="Times New Roman"/>
          <w:color w:val="002060"/>
          <w:szCs w:val="20"/>
          <w:lang w:eastAsia="hr-HR"/>
        </w:rPr>
        <w:t>9</w:t>
      </w:r>
      <w:r w:rsidR="006870BE">
        <w:rPr>
          <w:rFonts w:eastAsia="Times New Roman" w:cs="Times New Roman"/>
          <w:color w:val="002060"/>
          <w:szCs w:val="20"/>
          <w:lang w:eastAsia="hr-HR"/>
        </w:rPr>
        <w:t>.</w:t>
      </w:r>
      <w:r w:rsidR="00A538E6">
        <w:rPr>
          <w:rFonts w:eastAsia="Times New Roman" w:cs="Times New Roman"/>
          <w:color w:val="002060"/>
          <w:szCs w:val="20"/>
          <w:lang w:eastAsia="hr-HR"/>
        </w:rPr>
        <w:t>,</w:t>
      </w:r>
      <w:r w:rsidR="0003596D">
        <w:rPr>
          <w:rStyle w:val="Referencafusnote"/>
          <w:rFonts w:eastAsia="Times New Roman" w:cs="Times New Roman"/>
          <w:color w:val="002060"/>
          <w:szCs w:val="20"/>
          <w:lang w:eastAsia="hr-HR"/>
        </w:rPr>
        <w:footnoteReference w:id="2"/>
      </w:r>
      <w:r w:rsidR="001B5C25">
        <w:rPr>
          <w:rFonts w:eastAsia="Times New Roman" w:cs="Times New Roman"/>
          <w:color w:val="002060"/>
          <w:szCs w:val="20"/>
          <w:lang w:eastAsia="hr-HR"/>
        </w:rPr>
        <w:t xml:space="preserve"> s propisanim prilo</w:t>
      </w:r>
      <w:r w:rsidR="0003596D">
        <w:rPr>
          <w:rFonts w:eastAsia="Times New Roman" w:cs="Times New Roman"/>
          <w:color w:val="002060"/>
          <w:szCs w:val="20"/>
          <w:lang w:eastAsia="hr-HR"/>
        </w:rPr>
        <w:t>zima,</w:t>
      </w:r>
      <w:r w:rsidR="0003596D" w:rsidRPr="0003596D">
        <w:rPr>
          <w:rFonts w:cs="Arial"/>
          <w:bCs/>
          <w:color w:val="002060"/>
          <w:szCs w:val="24"/>
        </w:rPr>
        <w:t xml:space="preserve"> </w:t>
      </w:r>
      <w:r w:rsidR="0003596D">
        <w:rPr>
          <w:rFonts w:cs="Arial"/>
          <w:bCs/>
          <w:color w:val="002060"/>
          <w:szCs w:val="24"/>
        </w:rPr>
        <w:t xml:space="preserve">političke stranke, nezavisni zastupnici i nezavisni vijećnici dužni su dostaviti Državnom uredu za reviziju i Državnom izbornom povjerenstvu, </w:t>
      </w:r>
      <w:r w:rsidR="0003596D" w:rsidRPr="00FC21B4">
        <w:rPr>
          <w:rFonts w:cs="Arial"/>
          <w:b/>
          <w:bCs/>
          <w:color w:val="002060"/>
          <w:szCs w:val="24"/>
        </w:rPr>
        <w:t>unosom u informacijski sustav za nadzor financiranja</w:t>
      </w:r>
      <w:r w:rsidR="003403E8" w:rsidRPr="00A82DFA">
        <w:rPr>
          <w:rStyle w:val="Referencafusnote"/>
          <w:rFonts w:cs="Arial"/>
          <w:bCs/>
          <w:color w:val="002060"/>
          <w:szCs w:val="24"/>
        </w:rPr>
        <w:footnoteReference w:id="3"/>
      </w:r>
      <w:r w:rsidR="0003596D" w:rsidRPr="00A82DFA">
        <w:rPr>
          <w:rFonts w:cs="Arial"/>
          <w:bCs/>
          <w:color w:val="002060"/>
          <w:szCs w:val="24"/>
        </w:rPr>
        <w:t>,</w:t>
      </w:r>
      <w:r w:rsidR="0003596D">
        <w:rPr>
          <w:rFonts w:cs="Arial"/>
          <w:bCs/>
          <w:color w:val="002060"/>
          <w:szCs w:val="24"/>
        </w:rPr>
        <w:t xml:space="preserve"> u roku od 60 dana od dana isteka izvještajnog razdoblja.</w:t>
      </w:r>
      <w:r w:rsidR="0003596D" w:rsidRPr="0003596D">
        <w:rPr>
          <w:color w:val="002060"/>
        </w:rPr>
        <w:t xml:space="preserve"> </w:t>
      </w:r>
    </w:p>
    <w:p w:rsidR="006C36F8" w:rsidRDefault="00A82DFA" w:rsidP="00DC3CC8">
      <w:pPr>
        <w:tabs>
          <w:tab w:val="left" w:pos="567"/>
        </w:tabs>
        <w:rPr>
          <w:color w:val="002060"/>
        </w:rPr>
      </w:pPr>
      <w:r>
        <w:rPr>
          <w:color w:val="002060"/>
        </w:rPr>
        <w:tab/>
      </w:r>
      <w:r w:rsidR="0003596D">
        <w:rPr>
          <w:color w:val="002060"/>
        </w:rPr>
        <w:t>Rok za dostavu financijskih izvještaja za 201</w:t>
      </w:r>
      <w:r w:rsidR="00507C28">
        <w:rPr>
          <w:color w:val="002060"/>
        </w:rPr>
        <w:t>9</w:t>
      </w:r>
      <w:r w:rsidR="0003596D">
        <w:rPr>
          <w:color w:val="002060"/>
        </w:rPr>
        <w:t xml:space="preserve">. je </w:t>
      </w:r>
      <w:r w:rsidR="0003596D">
        <w:rPr>
          <w:b/>
          <w:color w:val="002060"/>
        </w:rPr>
        <w:t>2</w:t>
      </w:r>
      <w:r w:rsidR="0003596D" w:rsidRPr="00547FEE">
        <w:rPr>
          <w:b/>
          <w:color w:val="002060"/>
        </w:rPr>
        <w:t xml:space="preserve">. </w:t>
      </w:r>
      <w:r w:rsidR="0003596D">
        <w:rPr>
          <w:b/>
          <w:color w:val="002060"/>
        </w:rPr>
        <w:t>ožujka</w:t>
      </w:r>
      <w:r w:rsidR="0003596D" w:rsidRPr="00547FEE">
        <w:rPr>
          <w:b/>
          <w:color w:val="002060"/>
        </w:rPr>
        <w:t xml:space="preserve"> 20</w:t>
      </w:r>
      <w:r w:rsidR="0003596D">
        <w:rPr>
          <w:b/>
          <w:color w:val="002060"/>
        </w:rPr>
        <w:t>20</w:t>
      </w:r>
      <w:r w:rsidR="0003596D" w:rsidRPr="00547FEE">
        <w:rPr>
          <w:b/>
          <w:color w:val="002060"/>
        </w:rPr>
        <w:t xml:space="preserve">., </w:t>
      </w:r>
      <w:r w:rsidR="0003596D">
        <w:rPr>
          <w:b/>
          <w:color w:val="002060"/>
        </w:rPr>
        <w:t>ponedjeljak</w:t>
      </w:r>
      <w:r w:rsidR="0003596D" w:rsidRPr="00547FEE">
        <w:rPr>
          <w:b/>
          <w:color w:val="002060"/>
        </w:rPr>
        <w:t xml:space="preserve"> </w:t>
      </w:r>
      <w:r w:rsidR="0003596D" w:rsidRPr="00547FEE">
        <w:rPr>
          <w:color w:val="002060"/>
        </w:rPr>
        <w:t>(zadnji dan zaprimanja izvještaja u propisanom roku).</w:t>
      </w:r>
      <w:r>
        <w:rPr>
          <w:color w:val="002060"/>
        </w:rPr>
        <w:t xml:space="preserve"> </w:t>
      </w:r>
      <w:r w:rsidR="00E30FC0" w:rsidRPr="008C737C">
        <w:rPr>
          <w:color w:val="002060"/>
        </w:rPr>
        <w:t xml:space="preserve">U nastavku se </w:t>
      </w:r>
      <w:r w:rsidR="00212168">
        <w:rPr>
          <w:color w:val="002060"/>
        </w:rPr>
        <w:t>navode financijski izvještaji</w:t>
      </w:r>
      <w:r w:rsidR="0013306C">
        <w:rPr>
          <w:color w:val="002060"/>
        </w:rPr>
        <w:t xml:space="preserve"> sa sastavnim dijelovima</w:t>
      </w:r>
      <w:r w:rsidR="00212168">
        <w:rPr>
          <w:color w:val="002060"/>
        </w:rPr>
        <w:t>, obveznici sastavljanja te institucije kojima se predaju.</w:t>
      </w:r>
    </w:p>
    <w:p w:rsidR="00B32FB6" w:rsidRDefault="00B32FB6" w:rsidP="00F53AA3">
      <w:pPr>
        <w:overflowPunct w:val="0"/>
        <w:autoSpaceDE w:val="0"/>
        <w:autoSpaceDN w:val="0"/>
        <w:adjustRightInd w:val="0"/>
        <w:ind w:firstLine="567"/>
        <w:rPr>
          <w:color w:val="002060"/>
        </w:rPr>
      </w:pPr>
    </w:p>
    <w:tbl>
      <w:tblPr>
        <w:tblStyle w:val="Reetkatablice"/>
        <w:tblW w:w="5000" w:type="pct"/>
        <w:tblInd w:w="108"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firstRow="1" w:lastRow="0" w:firstColumn="1" w:lastColumn="0" w:noHBand="0" w:noVBand="1"/>
      </w:tblPr>
      <w:tblGrid>
        <w:gridCol w:w="3605"/>
        <w:gridCol w:w="2619"/>
        <w:gridCol w:w="3384"/>
      </w:tblGrid>
      <w:tr w:rsidR="008C737C" w:rsidRPr="00507C28" w:rsidTr="003403E8">
        <w:trPr>
          <w:trHeight w:val="897"/>
          <w:tblHeader/>
        </w:trPr>
        <w:tc>
          <w:tcPr>
            <w:tcW w:w="1876" w:type="pct"/>
            <w:shd w:val="clear" w:color="auto" w:fill="auto"/>
            <w:vAlign w:val="center"/>
          </w:tcPr>
          <w:p w:rsidR="0004689E" w:rsidRPr="00507C28" w:rsidRDefault="00212168" w:rsidP="0004689E">
            <w:pPr>
              <w:overflowPunct w:val="0"/>
              <w:autoSpaceDE w:val="0"/>
              <w:autoSpaceDN w:val="0"/>
              <w:adjustRightInd w:val="0"/>
              <w:jc w:val="center"/>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FINANCIJSKI IZVJEŠTAJI</w:t>
            </w:r>
            <w:r w:rsidR="00507C28">
              <w:rPr>
                <w:rFonts w:eastAsia="Times New Roman" w:cs="Times New Roman"/>
                <w:b/>
                <w:i/>
                <w:color w:val="002060"/>
                <w:sz w:val="17"/>
                <w:szCs w:val="17"/>
                <w:lang w:eastAsia="hr-HR"/>
              </w:rPr>
              <w:t>*</w:t>
            </w:r>
            <w:r w:rsidRPr="00507C28">
              <w:rPr>
                <w:rFonts w:eastAsia="Times New Roman" w:cs="Times New Roman"/>
                <w:b/>
                <w:i/>
                <w:color w:val="002060"/>
                <w:sz w:val="17"/>
                <w:szCs w:val="17"/>
                <w:lang w:eastAsia="hr-HR"/>
              </w:rPr>
              <w:t xml:space="preserve"> SA SASTAVNIM DIJELOVIMA</w:t>
            </w:r>
          </w:p>
        </w:tc>
        <w:tc>
          <w:tcPr>
            <w:tcW w:w="1363" w:type="pct"/>
            <w:shd w:val="clear" w:color="auto" w:fill="auto"/>
            <w:vAlign w:val="center"/>
          </w:tcPr>
          <w:p w:rsidR="0004689E" w:rsidRPr="00507C28" w:rsidRDefault="00212168" w:rsidP="00212168">
            <w:pPr>
              <w:overflowPunct w:val="0"/>
              <w:autoSpaceDE w:val="0"/>
              <w:autoSpaceDN w:val="0"/>
              <w:adjustRightInd w:val="0"/>
              <w:jc w:val="center"/>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SASTAVLJAJU</w:t>
            </w:r>
          </w:p>
        </w:tc>
        <w:tc>
          <w:tcPr>
            <w:tcW w:w="1761" w:type="pct"/>
            <w:shd w:val="clear" w:color="auto" w:fill="auto"/>
            <w:vAlign w:val="center"/>
          </w:tcPr>
          <w:p w:rsidR="008856BB" w:rsidRPr="00507C28" w:rsidRDefault="008856BB" w:rsidP="0004689E">
            <w:pPr>
              <w:overflowPunct w:val="0"/>
              <w:autoSpaceDE w:val="0"/>
              <w:autoSpaceDN w:val="0"/>
              <w:adjustRightInd w:val="0"/>
              <w:jc w:val="center"/>
              <w:rPr>
                <w:rFonts w:eastAsia="Times New Roman" w:cs="Times New Roman"/>
                <w:b/>
                <w:i/>
                <w:color w:val="002060"/>
                <w:sz w:val="17"/>
                <w:szCs w:val="17"/>
                <w:lang w:eastAsia="hr-HR"/>
              </w:rPr>
            </w:pPr>
          </w:p>
          <w:p w:rsidR="00DF1D03" w:rsidRPr="00507C28" w:rsidRDefault="00212168" w:rsidP="0004689E">
            <w:pPr>
              <w:overflowPunct w:val="0"/>
              <w:autoSpaceDE w:val="0"/>
              <w:autoSpaceDN w:val="0"/>
              <w:adjustRightInd w:val="0"/>
              <w:jc w:val="center"/>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PREDAJU SE</w:t>
            </w:r>
          </w:p>
          <w:p w:rsidR="00DF1D03" w:rsidRPr="00507C28" w:rsidRDefault="008856BB" w:rsidP="00DF1D03">
            <w:pPr>
              <w:overflowPunct w:val="0"/>
              <w:autoSpaceDE w:val="0"/>
              <w:autoSpaceDN w:val="0"/>
              <w:adjustRightInd w:val="0"/>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 </w:t>
            </w:r>
            <w:r w:rsidR="00DF1D03" w:rsidRPr="00507C28">
              <w:rPr>
                <w:rFonts w:eastAsia="Times New Roman" w:cs="Times New Roman"/>
                <w:b/>
                <w:i/>
                <w:color w:val="002060"/>
                <w:sz w:val="17"/>
                <w:szCs w:val="17"/>
                <w:lang w:eastAsia="hr-HR"/>
              </w:rPr>
              <w:t xml:space="preserve">- </w:t>
            </w:r>
            <w:r w:rsidRPr="00507C28">
              <w:rPr>
                <w:rFonts w:eastAsia="Times New Roman" w:cs="Times New Roman"/>
                <w:b/>
                <w:i/>
                <w:color w:val="002060"/>
                <w:sz w:val="17"/>
                <w:szCs w:val="17"/>
                <w:lang w:eastAsia="hr-HR"/>
              </w:rPr>
              <w:t xml:space="preserve">Državnom uredu za reviziju </w:t>
            </w:r>
          </w:p>
          <w:p w:rsidR="008856BB" w:rsidRPr="00507C28" w:rsidRDefault="00DF1D03" w:rsidP="00DF1D03">
            <w:pPr>
              <w:overflowPunct w:val="0"/>
              <w:autoSpaceDE w:val="0"/>
              <w:autoSpaceDN w:val="0"/>
              <w:adjustRightInd w:val="0"/>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 </w:t>
            </w:r>
            <w:r w:rsidR="008856BB" w:rsidRPr="00507C28">
              <w:rPr>
                <w:rFonts w:eastAsia="Times New Roman" w:cs="Times New Roman"/>
                <w:b/>
                <w:i/>
                <w:color w:val="002060"/>
                <w:sz w:val="17"/>
                <w:szCs w:val="17"/>
                <w:lang w:eastAsia="hr-HR"/>
              </w:rPr>
              <w:t xml:space="preserve">Državnom </w:t>
            </w:r>
            <w:r w:rsidRPr="00507C28">
              <w:rPr>
                <w:rFonts w:eastAsia="Times New Roman" w:cs="Times New Roman"/>
                <w:b/>
                <w:i/>
                <w:color w:val="002060"/>
                <w:sz w:val="17"/>
                <w:szCs w:val="17"/>
                <w:lang w:eastAsia="hr-HR"/>
              </w:rPr>
              <w:t>i</w:t>
            </w:r>
            <w:r w:rsidR="008856BB" w:rsidRPr="00507C28">
              <w:rPr>
                <w:rFonts w:eastAsia="Times New Roman" w:cs="Times New Roman"/>
                <w:b/>
                <w:i/>
                <w:color w:val="002060"/>
                <w:sz w:val="17"/>
                <w:szCs w:val="17"/>
                <w:lang w:eastAsia="hr-HR"/>
              </w:rPr>
              <w:t>zbornom povjerenstvu</w:t>
            </w:r>
          </w:p>
          <w:p w:rsidR="00DF1D03" w:rsidRPr="00507C28" w:rsidRDefault="00DF1D03" w:rsidP="00DF1D03">
            <w:pPr>
              <w:overflowPunct w:val="0"/>
              <w:autoSpaceDE w:val="0"/>
              <w:autoSpaceDN w:val="0"/>
              <w:adjustRightInd w:val="0"/>
              <w:jc w:val="left"/>
              <w:rPr>
                <w:rFonts w:eastAsia="Times New Roman" w:cs="Times New Roman"/>
                <w:b/>
                <w:i/>
                <w:color w:val="002060"/>
                <w:sz w:val="17"/>
                <w:szCs w:val="17"/>
                <w:lang w:eastAsia="hr-HR"/>
              </w:rPr>
            </w:pPr>
          </w:p>
        </w:tc>
      </w:tr>
      <w:tr w:rsidR="00D87469" w:rsidRPr="00507C28" w:rsidTr="00155A74">
        <w:tc>
          <w:tcPr>
            <w:tcW w:w="1876" w:type="pct"/>
            <w:shd w:val="clear" w:color="auto" w:fill="auto"/>
            <w:vAlign w:val="center"/>
          </w:tcPr>
          <w:p w:rsidR="00D87469" w:rsidRPr="00507C28" w:rsidRDefault="00D87469" w:rsidP="0004689E">
            <w:pPr>
              <w:overflowPunct w:val="0"/>
              <w:autoSpaceDE w:val="0"/>
              <w:autoSpaceDN w:val="0"/>
              <w:adjustRightInd w:val="0"/>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bilanca (obrazac BIL-NPF) </w:t>
            </w:r>
          </w:p>
        </w:tc>
        <w:tc>
          <w:tcPr>
            <w:tcW w:w="1363" w:type="pct"/>
            <w:vMerge w:val="restart"/>
            <w:shd w:val="clear" w:color="auto" w:fill="auto"/>
            <w:vAlign w:val="center"/>
          </w:tcPr>
          <w:p w:rsidR="00D87469" w:rsidRPr="00507C28" w:rsidRDefault="00D87469" w:rsidP="0004689E">
            <w:pPr>
              <w:pStyle w:val="Odlomakpopisa"/>
              <w:numPr>
                <w:ilvl w:val="0"/>
                <w:numId w:val="11"/>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rsidR="00D87469" w:rsidRPr="00507C28" w:rsidRDefault="00D87469" w:rsidP="006C36F8">
            <w:pPr>
              <w:pStyle w:val="Odlomakpopisa"/>
              <w:numPr>
                <w:ilvl w:val="0"/>
                <w:numId w:val="11"/>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tc>
        <w:tc>
          <w:tcPr>
            <w:tcW w:w="1761" w:type="pct"/>
            <w:vMerge w:val="restart"/>
            <w:shd w:val="clear" w:color="auto" w:fill="auto"/>
            <w:vAlign w:val="center"/>
          </w:tcPr>
          <w:p w:rsidR="00D87469" w:rsidRPr="00507C28" w:rsidRDefault="00D87469" w:rsidP="008856BB">
            <w:pPr>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unosom u informacijski sustav za nadzor financiranja</w:t>
            </w:r>
          </w:p>
          <w:p w:rsidR="00B840B2" w:rsidRPr="00507C28" w:rsidRDefault="00B840B2" w:rsidP="008856BB">
            <w:pPr>
              <w:jc w:val="left"/>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(za čije je vođenje, održavanje i upravljanje nadležno Državno izborno povjerenstvo)</w:t>
            </w:r>
          </w:p>
          <w:p w:rsidR="00D87469" w:rsidRPr="00507C28" w:rsidRDefault="00D87469" w:rsidP="008856BB">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r w:rsidR="00D87469" w:rsidRPr="00507C28" w:rsidTr="00155A74">
        <w:tc>
          <w:tcPr>
            <w:tcW w:w="1876" w:type="pct"/>
            <w:shd w:val="clear" w:color="auto" w:fill="auto"/>
            <w:vAlign w:val="center"/>
          </w:tcPr>
          <w:p w:rsidR="00D87469" w:rsidRPr="00507C28" w:rsidRDefault="00D87469" w:rsidP="0004689E">
            <w:pPr>
              <w:overflowPunct w:val="0"/>
              <w:autoSpaceDE w:val="0"/>
              <w:autoSpaceDN w:val="0"/>
              <w:adjustRightInd w:val="0"/>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izvještaj o prihodima i rashodima (obrazac PR-RAS-NPF)</w:t>
            </w:r>
          </w:p>
        </w:tc>
        <w:tc>
          <w:tcPr>
            <w:tcW w:w="1363" w:type="pct"/>
            <w:vMerge/>
            <w:shd w:val="clear" w:color="auto" w:fill="auto"/>
            <w:vAlign w:val="center"/>
          </w:tcPr>
          <w:p w:rsidR="00D87469" w:rsidRPr="00507C28" w:rsidRDefault="00D87469" w:rsidP="00D87469">
            <w:pPr>
              <w:pStyle w:val="Odlomakpopisa"/>
              <w:overflowPunct w:val="0"/>
              <w:autoSpaceDE w:val="0"/>
              <w:autoSpaceDN w:val="0"/>
              <w:adjustRightInd w:val="0"/>
              <w:ind w:left="414"/>
              <w:jc w:val="left"/>
              <w:rPr>
                <w:rFonts w:eastAsia="Times New Roman" w:cs="Times New Roman"/>
                <w:b/>
                <w:i/>
                <w:color w:val="002060"/>
                <w:sz w:val="17"/>
                <w:szCs w:val="17"/>
                <w:lang w:eastAsia="hr-HR"/>
              </w:rPr>
            </w:pPr>
          </w:p>
        </w:tc>
        <w:tc>
          <w:tcPr>
            <w:tcW w:w="1761" w:type="pct"/>
            <w:vMerge/>
            <w:shd w:val="clear" w:color="auto" w:fill="auto"/>
            <w:vAlign w:val="center"/>
          </w:tcPr>
          <w:p w:rsidR="00D87469" w:rsidRPr="00507C28" w:rsidRDefault="00D87469" w:rsidP="00E65842">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r w:rsidR="00D87469" w:rsidRPr="00507C28" w:rsidTr="00155A74">
        <w:tc>
          <w:tcPr>
            <w:tcW w:w="1876" w:type="pct"/>
            <w:shd w:val="clear" w:color="auto" w:fill="auto"/>
            <w:vAlign w:val="center"/>
          </w:tcPr>
          <w:p w:rsidR="00D87469" w:rsidRPr="00507C28" w:rsidRDefault="00D87469" w:rsidP="00572F09">
            <w:pPr>
              <w:overflowPunct w:val="0"/>
              <w:autoSpaceDE w:val="0"/>
              <w:autoSpaceDN w:val="0"/>
              <w:adjustRightInd w:val="0"/>
              <w:jc w:val="left"/>
              <w:rPr>
                <w:rFonts w:eastAsia="Times New Roman" w:cs="Times New Roman"/>
                <w:b/>
                <w:color w:val="002060"/>
                <w:sz w:val="17"/>
                <w:szCs w:val="17"/>
                <w:lang w:eastAsia="hr-HR"/>
              </w:rPr>
            </w:pPr>
            <w:r w:rsidRPr="00507C28">
              <w:rPr>
                <w:rFonts w:eastAsia="Times New Roman" w:cs="Times New Roman"/>
                <w:b/>
                <w:i/>
                <w:color w:val="002060"/>
                <w:sz w:val="17"/>
                <w:szCs w:val="17"/>
                <w:lang w:eastAsia="hr-HR"/>
              </w:rPr>
              <w:t>bilješke uz financijske izvještaje</w:t>
            </w:r>
            <w:r w:rsidRPr="00507C28">
              <w:rPr>
                <w:rFonts w:eastAsia="Times New Roman" w:cs="Times New Roman"/>
                <w:b/>
                <w:color w:val="002060"/>
                <w:sz w:val="17"/>
                <w:szCs w:val="17"/>
                <w:lang w:eastAsia="hr-HR"/>
              </w:rPr>
              <w:t xml:space="preserve"> </w:t>
            </w:r>
            <w:r w:rsidRPr="00507C28">
              <w:rPr>
                <w:rFonts w:eastAsia="Times New Roman" w:cs="Times New Roman"/>
                <w:i/>
                <w:color w:val="002060"/>
                <w:sz w:val="17"/>
                <w:szCs w:val="17"/>
                <w:lang w:eastAsia="hr-HR"/>
              </w:rPr>
              <w:t>(Bilješke uz Bilancu i Bilješke uz Izvještaj o prihodima i rashodima; opisna, brojčana ili kombinirana dopuna podataka uz financijske izvještaje)</w:t>
            </w:r>
          </w:p>
        </w:tc>
        <w:tc>
          <w:tcPr>
            <w:tcW w:w="1363" w:type="pct"/>
            <w:vMerge/>
            <w:shd w:val="clear" w:color="auto" w:fill="auto"/>
            <w:vAlign w:val="center"/>
          </w:tcPr>
          <w:p w:rsidR="00D87469" w:rsidRPr="00507C28" w:rsidRDefault="00D87469" w:rsidP="00D87469">
            <w:pPr>
              <w:pStyle w:val="Odlomakpopisa"/>
              <w:overflowPunct w:val="0"/>
              <w:autoSpaceDE w:val="0"/>
              <w:autoSpaceDN w:val="0"/>
              <w:adjustRightInd w:val="0"/>
              <w:ind w:left="414"/>
              <w:jc w:val="left"/>
              <w:rPr>
                <w:rFonts w:eastAsia="Times New Roman" w:cs="Times New Roman"/>
                <w:b/>
                <w:i/>
                <w:color w:val="002060"/>
                <w:sz w:val="17"/>
                <w:szCs w:val="17"/>
                <w:lang w:eastAsia="hr-HR"/>
              </w:rPr>
            </w:pPr>
          </w:p>
        </w:tc>
        <w:tc>
          <w:tcPr>
            <w:tcW w:w="1761" w:type="pct"/>
            <w:vMerge/>
            <w:shd w:val="clear" w:color="auto" w:fill="auto"/>
            <w:vAlign w:val="center"/>
          </w:tcPr>
          <w:p w:rsidR="00D87469" w:rsidRPr="00507C28" w:rsidRDefault="00D87469" w:rsidP="00E65842">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r w:rsidR="00D87469" w:rsidRPr="00507C28" w:rsidTr="00155A74">
        <w:tc>
          <w:tcPr>
            <w:tcW w:w="1876" w:type="pct"/>
            <w:shd w:val="clear" w:color="auto" w:fill="auto"/>
            <w:vAlign w:val="center"/>
          </w:tcPr>
          <w:p w:rsidR="00D87469" w:rsidRPr="00507C28" w:rsidRDefault="00D87469" w:rsidP="0004689E">
            <w:pPr>
              <w:overflowPunct w:val="0"/>
              <w:autoSpaceDE w:val="0"/>
              <w:autoSpaceDN w:val="0"/>
              <w:adjustRightInd w:val="0"/>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godišnji financijski izvještaj o primicima i izdacima (obrazac G-PR-IZ-NPF)</w:t>
            </w:r>
          </w:p>
          <w:p w:rsidR="00D87469" w:rsidRPr="00507C28" w:rsidRDefault="00D87469" w:rsidP="00D87469">
            <w:pPr>
              <w:pStyle w:val="Tekstfusnote"/>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 xml:space="preserve">NAPOMENA:  </w:t>
            </w:r>
            <w:r w:rsidRPr="00507C28">
              <w:rPr>
                <w:rFonts w:ascii="Arial" w:hAnsi="Arial" w:cs="Arial"/>
                <w:i/>
                <w:color w:val="002060"/>
                <w:sz w:val="17"/>
                <w:szCs w:val="17"/>
              </w:rPr>
              <w:t xml:space="preserve">nositelj neovisne liste, odnosno liste grupe birača ne može umjesto nezavisnog vijećnika, sastaviti navedeni izvještaj jer neovisna lista, odnosno lista grupe birača prestaje s aktivnostima nakon izbora. </w:t>
            </w:r>
          </w:p>
        </w:tc>
        <w:tc>
          <w:tcPr>
            <w:tcW w:w="1363" w:type="pct"/>
            <w:vMerge w:val="restart"/>
            <w:shd w:val="clear" w:color="auto" w:fill="auto"/>
            <w:vAlign w:val="center"/>
          </w:tcPr>
          <w:p w:rsidR="00D87469" w:rsidRPr="00507C28" w:rsidRDefault="00D87469" w:rsidP="0004689E">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61" w:type="pct"/>
            <w:vMerge/>
            <w:shd w:val="clear" w:color="auto" w:fill="auto"/>
            <w:vAlign w:val="center"/>
          </w:tcPr>
          <w:p w:rsidR="00D87469" w:rsidRPr="00507C28" w:rsidRDefault="00D87469" w:rsidP="00E65842">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r w:rsidR="00D87469" w:rsidRPr="00507C28" w:rsidTr="00155A74">
        <w:tc>
          <w:tcPr>
            <w:tcW w:w="1876" w:type="pct"/>
            <w:shd w:val="clear" w:color="auto" w:fill="auto"/>
            <w:vAlign w:val="center"/>
          </w:tcPr>
          <w:p w:rsidR="00D87469" w:rsidRPr="00507C28" w:rsidRDefault="00A82DFA" w:rsidP="00A82DFA">
            <w:pPr>
              <w:overflowPunct w:val="0"/>
              <w:autoSpaceDE w:val="0"/>
              <w:autoSpaceDN w:val="0"/>
              <w:adjustRightInd w:val="0"/>
              <w:jc w:val="left"/>
              <w:rPr>
                <w:rFonts w:eastAsia="Times New Roman" w:cs="Times New Roman"/>
                <w:i/>
                <w:color w:val="002060"/>
                <w:sz w:val="17"/>
                <w:szCs w:val="17"/>
                <w:lang w:eastAsia="hr-HR"/>
              </w:rPr>
            </w:pPr>
            <w:r w:rsidRPr="00507C28">
              <w:rPr>
                <w:rFonts w:eastAsia="Times New Roman" w:cs="Times New Roman"/>
                <w:b/>
                <w:i/>
                <w:color w:val="002060"/>
                <w:sz w:val="17"/>
                <w:szCs w:val="17"/>
                <w:lang w:eastAsia="hr-HR"/>
              </w:rPr>
              <w:t>b</w:t>
            </w:r>
            <w:r w:rsidR="00D87469" w:rsidRPr="00507C28">
              <w:rPr>
                <w:rFonts w:eastAsia="Times New Roman" w:cs="Times New Roman"/>
                <w:b/>
                <w:i/>
                <w:color w:val="002060"/>
                <w:sz w:val="17"/>
                <w:szCs w:val="17"/>
                <w:lang w:eastAsia="hr-HR"/>
              </w:rPr>
              <w:t xml:space="preserve">ilješke </w:t>
            </w:r>
            <w:r w:rsidR="00D87469" w:rsidRPr="00507C28">
              <w:rPr>
                <w:rFonts w:eastAsia="Times New Roman" w:cs="Times New Roman"/>
                <w:i/>
                <w:color w:val="002060"/>
                <w:sz w:val="17"/>
                <w:szCs w:val="17"/>
                <w:lang w:eastAsia="hr-HR"/>
              </w:rPr>
              <w:t>(dopuna podataka uz financijski izvještaj; potrebno je navesti razloge zbog kojih je došlo do odstupanja u odnosu na ostvarenje iz prethodne godine)</w:t>
            </w:r>
          </w:p>
        </w:tc>
        <w:tc>
          <w:tcPr>
            <w:tcW w:w="1363" w:type="pct"/>
            <w:vMerge/>
            <w:shd w:val="clear" w:color="auto" w:fill="auto"/>
            <w:vAlign w:val="center"/>
          </w:tcPr>
          <w:p w:rsidR="00D87469" w:rsidRPr="00507C28" w:rsidRDefault="00D87469" w:rsidP="00D87469">
            <w:pPr>
              <w:pStyle w:val="Odlomakpopisa"/>
              <w:overflowPunct w:val="0"/>
              <w:autoSpaceDE w:val="0"/>
              <w:autoSpaceDN w:val="0"/>
              <w:adjustRightInd w:val="0"/>
              <w:ind w:left="414"/>
              <w:jc w:val="left"/>
              <w:rPr>
                <w:rFonts w:eastAsia="Times New Roman" w:cs="Times New Roman"/>
                <w:b/>
                <w:i/>
                <w:color w:val="002060"/>
                <w:sz w:val="17"/>
                <w:szCs w:val="17"/>
                <w:lang w:eastAsia="hr-HR"/>
              </w:rPr>
            </w:pPr>
          </w:p>
        </w:tc>
        <w:tc>
          <w:tcPr>
            <w:tcW w:w="1761" w:type="pct"/>
            <w:vMerge/>
            <w:shd w:val="clear" w:color="auto" w:fill="auto"/>
            <w:vAlign w:val="center"/>
          </w:tcPr>
          <w:p w:rsidR="00D87469" w:rsidRPr="00507C28" w:rsidRDefault="00D87469" w:rsidP="00E65842">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r w:rsidR="00E65842" w:rsidRPr="00507C28" w:rsidTr="00155A74">
        <w:tc>
          <w:tcPr>
            <w:tcW w:w="1876" w:type="pct"/>
            <w:shd w:val="clear" w:color="auto" w:fill="auto"/>
            <w:vAlign w:val="center"/>
          </w:tcPr>
          <w:p w:rsidR="00E65842" w:rsidRPr="00507C28" w:rsidRDefault="00E65842" w:rsidP="006052DC">
            <w:pPr>
              <w:overflowPunct w:val="0"/>
              <w:autoSpaceDE w:val="0"/>
              <w:autoSpaceDN w:val="0"/>
              <w:adjustRightInd w:val="0"/>
              <w:contextualSpacing/>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godišnji program rada i financijski plan </w:t>
            </w:r>
          </w:p>
        </w:tc>
        <w:tc>
          <w:tcPr>
            <w:tcW w:w="1363" w:type="pct"/>
            <w:shd w:val="clear" w:color="auto" w:fill="auto"/>
            <w:vAlign w:val="center"/>
          </w:tcPr>
          <w:p w:rsidR="00E65842" w:rsidRPr="00507C28" w:rsidRDefault="00E65842" w:rsidP="0004689E">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rsidR="00E65842" w:rsidRPr="00507C28" w:rsidRDefault="00E65842" w:rsidP="0004689E">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rsidR="00E65842" w:rsidRPr="00507C28" w:rsidRDefault="00DF1D03" w:rsidP="007F5589">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vijećnik</w:t>
            </w:r>
            <w:r w:rsidR="00E65842" w:rsidRPr="00507C28">
              <w:rPr>
                <w:rFonts w:eastAsia="Times New Roman" w:cs="Times New Roman"/>
                <w:b/>
                <w:i/>
                <w:color w:val="002060"/>
                <w:sz w:val="17"/>
                <w:szCs w:val="17"/>
                <w:lang w:eastAsia="hr-HR"/>
              </w:rPr>
              <w:t xml:space="preserve">  </w:t>
            </w:r>
          </w:p>
        </w:tc>
        <w:tc>
          <w:tcPr>
            <w:tcW w:w="1761" w:type="pct"/>
            <w:vMerge/>
            <w:shd w:val="clear" w:color="auto" w:fill="auto"/>
            <w:vAlign w:val="center"/>
          </w:tcPr>
          <w:p w:rsidR="00E65842" w:rsidRPr="00507C28" w:rsidRDefault="00E65842" w:rsidP="00E65842">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r w:rsidR="00E65842" w:rsidRPr="00507C28" w:rsidTr="00155A74">
        <w:tc>
          <w:tcPr>
            <w:tcW w:w="1876" w:type="pct"/>
            <w:shd w:val="clear" w:color="auto" w:fill="auto"/>
            <w:vAlign w:val="center"/>
          </w:tcPr>
          <w:p w:rsidR="00E65842" w:rsidRPr="00507C28" w:rsidRDefault="00E65842" w:rsidP="00C1322D">
            <w:pPr>
              <w:overflowPunct w:val="0"/>
              <w:autoSpaceDE w:val="0"/>
              <w:autoSpaceDN w:val="0"/>
              <w:adjustRightInd w:val="0"/>
              <w:contextualSpacing/>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program rada za mandatno razdoblje</w:t>
            </w:r>
          </w:p>
        </w:tc>
        <w:tc>
          <w:tcPr>
            <w:tcW w:w="1363" w:type="pct"/>
            <w:shd w:val="clear" w:color="auto" w:fill="auto"/>
            <w:vAlign w:val="center"/>
          </w:tcPr>
          <w:p w:rsidR="00E65842" w:rsidRPr="00507C28" w:rsidRDefault="00E65842" w:rsidP="00FB3FB1">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rsidR="00E65842" w:rsidRPr="00507C28" w:rsidRDefault="00DF1D03" w:rsidP="00882F6D">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vijećnik</w:t>
            </w:r>
          </w:p>
          <w:p w:rsidR="00E65842" w:rsidRPr="00507C28" w:rsidRDefault="00E65842" w:rsidP="009E61C3">
            <w:pPr>
              <w:pStyle w:val="Odlomakpopisa"/>
              <w:overflowPunct w:val="0"/>
              <w:autoSpaceDE w:val="0"/>
              <w:autoSpaceDN w:val="0"/>
              <w:adjustRightInd w:val="0"/>
              <w:ind w:left="41"/>
              <w:jc w:val="left"/>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 xml:space="preserve">(ako nije dostavljen ranije, odnosno na početku mandata) </w:t>
            </w:r>
          </w:p>
        </w:tc>
        <w:tc>
          <w:tcPr>
            <w:tcW w:w="1761" w:type="pct"/>
            <w:vMerge/>
            <w:shd w:val="clear" w:color="auto" w:fill="auto"/>
            <w:vAlign w:val="center"/>
          </w:tcPr>
          <w:p w:rsidR="00E65842" w:rsidRPr="00507C28" w:rsidRDefault="00E65842" w:rsidP="00E65842">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r w:rsidR="00E65842" w:rsidRPr="00507C28" w:rsidTr="00A82DFA">
        <w:trPr>
          <w:trHeight w:val="2262"/>
        </w:trPr>
        <w:tc>
          <w:tcPr>
            <w:tcW w:w="1876" w:type="pct"/>
            <w:shd w:val="clear" w:color="auto" w:fill="auto"/>
            <w:vAlign w:val="center"/>
          </w:tcPr>
          <w:p w:rsidR="00E65842" w:rsidRPr="00507C28" w:rsidRDefault="00E65842" w:rsidP="00B840B2">
            <w:pPr>
              <w:overflowPunct w:val="0"/>
              <w:autoSpaceDE w:val="0"/>
              <w:autoSpaceDN w:val="0"/>
              <w:adjustRightInd w:val="0"/>
              <w:contextualSpacing/>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izvješće o donacijama primljenima tijekom godine</w:t>
            </w:r>
            <w:r w:rsidRPr="00507C28">
              <w:rPr>
                <w:rFonts w:eastAsia="Times New Roman" w:cs="Times New Roman"/>
                <w:color w:val="002060"/>
                <w:sz w:val="17"/>
                <w:szCs w:val="17"/>
                <w:lang w:eastAsia="hr-HR"/>
              </w:rPr>
              <w:t xml:space="preserve"> </w:t>
            </w:r>
            <w:r w:rsidRPr="00507C28">
              <w:rPr>
                <w:rFonts w:eastAsia="Times New Roman" w:cs="Times New Roman"/>
                <w:i/>
                <w:color w:val="002060"/>
                <w:sz w:val="17"/>
                <w:szCs w:val="17"/>
                <w:lang w:eastAsia="hr-HR"/>
              </w:rPr>
              <w:t>sa specificiranim podacima o fizičkim i pravnim osobama koje su dale donacije (osobno ime, odnosno naziv i adresa</w:t>
            </w:r>
            <w:r w:rsidR="00D87469" w:rsidRPr="00507C28">
              <w:rPr>
                <w:rFonts w:eastAsia="Times New Roman" w:cs="Times New Roman"/>
                <w:i/>
                <w:color w:val="002060"/>
                <w:sz w:val="17"/>
                <w:szCs w:val="17"/>
                <w:lang w:eastAsia="hr-HR"/>
              </w:rPr>
              <w:t xml:space="preserve"> te OIB</w:t>
            </w:r>
            <w:r w:rsidRPr="00507C28">
              <w:rPr>
                <w:rFonts w:eastAsia="Times New Roman" w:cs="Times New Roman"/>
                <w:i/>
                <w:color w:val="002060"/>
                <w:sz w:val="17"/>
                <w:szCs w:val="17"/>
                <w:lang w:eastAsia="hr-HR"/>
              </w:rPr>
              <w:t xml:space="preserve">), datumu uplate donacije, odnosno davanja proizvoda ili pružanja usluga bez naplate, o uplaćenom iznosu donacije, odnosno tržišnoj vrijednosti darovanog proizvoda ili usluge naznačenoj na </w:t>
            </w:r>
            <w:r w:rsidR="00B840B2" w:rsidRPr="00507C28">
              <w:rPr>
                <w:rFonts w:eastAsia="Times New Roman" w:cs="Times New Roman"/>
                <w:i/>
                <w:color w:val="002060"/>
                <w:sz w:val="17"/>
                <w:szCs w:val="17"/>
                <w:lang w:eastAsia="hr-HR"/>
              </w:rPr>
              <w:t>potvrdi</w:t>
            </w:r>
            <w:r w:rsidRPr="00507C28">
              <w:rPr>
                <w:rFonts w:eastAsia="Times New Roman" w:cs="Times New Roman"/>
                <w:i/>
                <w:color w:val="002060"/>
                <w:sz w:val="17"/>
                <w:szCs w:val="17"/>
                <w:lang w:eastAsia="hr-HR"/>
              </w:rPr>
              <w:t xml:space="preserve"> te o vrsti svake pojedine donacije</w:t>
            </w:r>
            <w:r w:rsidRPr="00507C28">
              <w:rPr>
                <w:rFonts w:eastAsia="Times New Roman" w:cs="Times New Roman"/>
                <w:color w:val="002060"/>
                <w:sz w:val="17"/>
                <w:szCs w:val="17"/>
                <w:lang w:eastAsia="hr-HR"/>
              </w:rPr>
              <w:t xml:space="preserve"> </w:t>
            </w:r>
            <w:r w:rsidRPr="00507C28">
              <w:rPr>
                <w:rFonts w:eastAsia="Times New Roman" w:cs="Times New Roman"/>
                <w:b/>
                <w:color w:val="002060"/>
                <w:sz w:val="17"/>
                <w:szCs w:val="17"/>
                <w:lang w:eastAsia="hr-HR"/>
              </w:rPr>
              <w:t>(</w:t>
            </w:r>
            <w:r w:rsidRPr="00507C28">
              <w:rPr>
                <w:rFonts w:eastAsia="Times New Roman" w:cs="Times New Roman"/>
                <w:b/>
                <w:i/>
                <w:color w:val="002060"/>
                <w:sz w:val="17"/>
                <w:szCs w:val="17"/>
                <w:lang w:eastAsia="hr-HR"/>
              </w:rPr>
              <w:t>obrazac IZ-D</w:t>
            </w:r>
            <w:r w:rsidR="00B840B2" w:rsidRPr="00507C28">
              <w:rPr>
                <w:rFonts w:eastAsia="Times New Roman" w:cs="Times New Roman"/>
                <w:b/>
                <w:i/>
                <w:color w:val="002060"/>
                <w:sz w:val="17"/>
                <w:szCs w:val="17"/>
                <w:lang w:eastAsia="hr-HR"/>
              </w:rPr>
              <w:t>-RPA</w:t>
            </w:r>
            <w:r w:rsidRPr="00507C28">
              <w:rPr>
                <w:rFonts w:eastAsia="Times New Roman" w:cs="Times New Roman"/>
                <w:b/>
                <w:color w:val="002060"/>
                <w:sz w:val="17"/>
                <w:szCs w:val="17"/>
                <w:lang w:eastAsia="hr-HR"/>
              </w:rPr>
              <w:t>)</w:t>
            </w:r>
          </w:p>
        </w:tc>
        <w:tc>
          <w:tcPr>
            <w:tcW w:w="1363" w:type="pct"/>
            <w:shd w:val="clear" w:color="auto" w:fill="auto"/>
            <w:vAlign w:val="center"/>
          </w:tcPr>
          <w:p w:rsidR="00E65842" w:rsidRPr="00507C28" w:rsidRDefault="00E65842" w:rsidP="0004689E">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rsidR="00E65842" w:rsidRPr="00507C28" w:rsidRDefault="00E65842" w:rsidP="0004689E">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rsidR="00E65842" w:rsidRPr="00507C28" w:rsidRDefault="00DF1D03" w:rsidP="0004689E">
            <w:pPr>
              <w:pStyle w:val="Odlomakpopisa"/>
              <w:numPr>
                <w:ilvl w:val="0"/>
                <w:numId w:val="12"/>
              </w:numPr>
              <w:overflowPunct w:val="0"/>
              <w:autoSpaceDE w:val="0"/>
              <w:autoSpaceDN w:val="0"/>
              <w:adjustRightInd w:val="0"/>
              <w:ind w:left="414" w:hanging="283"/>
              <w:jc w:val="left"/>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vijećnik</w:t>
            </w:r>
            <w:r w:rsidR="00E65842" w:rsidRPr="00507C28">
              <w:rPr>
                <w:rFonts w:eastAsia="Times New Roman" w:cs="Times New Roman"/>
                <w:b/>
                <w:i/>
                <w:color w:val="002060"/>
                <w:sz w:val="17"/>
                <w:szCs w:val="17"/>
                <w:lang w:eastAsia="hr-HR"/>
              </w:rPr>
              <w:t xml:space="preserve">  </w:t>
            </w:r>
          </w:p>
        </w:tc>
        <w:tc>
          <w:tcPr>
            <w:tcW w:w="1761" w:type="pct"/>
            <w:vMerge/>
            <w:shd w:val="clear" w:color="auto" w:fill="auto"/>
            <w:vAlign w:val="center"/>
          </w:tcPr>
          <w:p w:rsidR="00E65842" w:rsidRPr="00507C28" w:rsidRDefault="00E65842" w:rsidP="00E65842">
            <w:pPr>
              <w:pStyle w:val="Odlomakpopisa"/>
              <w:overflowPunct w:val="0"/>
              <w:autoSpaceDE w:val="0"/>
              <w:autoSpaceDN w:val="0"/>
              <w:adjustRightInd w:val="0"/>
              <w:ind w:left="383"/>
              <w:jc w:val="left"/>
              <w:rPr>
                <w:rFonts w:eastAsia="Times New Roman" w:cs="Times New Roman"/>
                <w:b/>
                <w:i/>
                <w:color w:val="002060"/>
                <w:sz w:val="17"/>
                <w:szCs w:val="17"/>
                <w:lang w:eastAsia="hr-HR"/>
              </w:rPr>
            </w:pPr>
          </w:p>
        </w:tc>
      </w:tr>
    </w:tbl>
    <w:p w:rsidR="00507C28" w:rsidRDefault="00507C28" w:rsidP="00507C28">
      <w:pPr>
        <w:tabs>
          <w:tab w:val="left" w:pos="426"/>
        </w:tabs>
        <w:overflowPunct w:val="0"/>
        <w:autoSpaceDE w:val="0"/>
        <w:autoSpaceDN w:val="0"/>
        <w:adjustRightInd w:val="0"/>
        <w:rPr>
          <w:rFonts w:eastAsia="Times New Roman" w:cs="Times New Roman"/>
          <w:color w:val="002060"/>
          <w:szCs w:val="20"/>
          <w:lang w:eastAsia="hr-HR"/>
        </w:rPr>
      </w:pPr>
      <w:r>
        <w:rPr>
          <w:rFonts w:eastAsia="Times New Roman" w:cs="Times New Roman"/>
          <w:color w:val="002060"/>
          <w:szCs w:val="20"/>
          <w:lang w:eastAsia="hr-HR"/>
        </w:rPr>
        <w:t xml:space="preserve"> </w:t>
      </w:r>
      <w:r>
        <w:rPr>
          <w:rFonts w:eastAsia="Times New Roman" w:cs="Times New Roman"/>
          <w:color w:val="002060"/>
          <w:szCs w:val="20"/>
          <w:lang w:eastAsia="hr-HR"/>
        </w:rPr>
        <w:tab/>
        <w:t xml:space="preserve">* </w:t>
      </w:r>
      <w:r w:rsidRPr="00507C28">
        <w:rPr>
          <w:rFonts w:eastAsia="Times New Roman" w:cs="Times New Roman"/>
          <w:i/>
          <w:color w:val="002060"/>
          <w:sz w:val="18"/>
          <w:szCs w:val="18"/>
          <w:lang w:eastAsia="hr-HR"/>
        </w:rPr>
        <w:t>moguće promjene zbog primjene jednostavnog odnosno dvojnog knjigovodstva</w:t>
      </w:r>
    </w:p>
    <w:p w:rsidR="00507C28" w:rsidRDefault="00507C28" w:rsidP="00F53AA3">
      <w:pPr>
        <w:overflowPunct w:val="0"/>
        <w:autoSpaceDE w:val="0"/>
        <w:autoSpaceDN w:val="0"/>
        <w:adjustRightInd w:val="0"/>
        <w:ind w:firstLine="567"/>
        <w:rPr>
          <w:rFonts w:eastAsia="Times New Roman" w:cs="Times New Roman"/>
          <w:color w:val="002060"/>
          <w:szCs w:val="20"/>
          <w:lang w:eastAsia="hr-HR"/>
        </w:rPr>
      </w:pPr>
    </w:p>
    <w:p w:rsidR="00507C28" w:rsidRDefault="00507C28" w:rsidP="00F53AA3">
      <w:pPr>
        <w:overflowPunct w:val="0"/>
        <w:autoSpaceDE w:val="0"/>
        <w:autoSpaceDN w:val="0"/>
        <w:adjustRightInd w:val="0"/>
        <w:ind w:firstLine="567"/>
        <w:rPr>
          <w:rFonts w:eastAsia="Times New Roman" w:cs="Times New Roman"/>
          <w:color w:val="002060"/>
          <w:szCs w:val="20"/>
          <w:lang w:eastAsia="hr-HR"/>
        </w:rPr>
      </w:pPr>
    </w:p>
    <w:p w:rsidR="00507C28" w:rsidRDefault="00507C28" w:rsidP="00F53AA3">
      <w:pPr>
        <w:overflowPunct w:val="0"/>
        <w:autoSpaceDE w:val="0"/>
        <w:autoSpaceDN w:val="0"/>
        <w:adjustRightInd w:val="0"/>
        <w:ind w:firstLine="567"/>
        <w:rPr>
          <w:rFonts w:eastAsia="Times New Roman" w:cs="Times New Roman"/>
          <w:color w:val="002060"/>
          <w:szCs w:val="20"/>
          <w:lang w:eastAsia="hr-HR"/>
        </w:rPr>
      </w:pPr>
    </w:p>
    <w:p w:rsidR="003258F4" w:rsidRDefault="003258F4" w:rsidP="00F53AA3">
      <w:pPr>
        <w:overflowPunct w:val="0"/>
        <w:autoSpaceDE w:val="0"/>
        <w:autoSpaceDN w:val="0"/>
        <w:adjustRightInd w:val="0"/>
        <w:ind w:firstLine="567"/>
        <w:rPr>
          <w:rFonts w:eastAsia="Times New Roman" w:cs="Times New Roman"/>
          <w:color w:val="002060"/>
          <w:szCs w:val="20"/>
          <w:lang w:eastAsia="hr-HR"/>
        </w:rPr>
      </w:pPr>
      <w:r w:rsidRPr="00E65842">
        <w:rPr>
          <w:rFonts w:eastAsia="Times New Roman" w:cs="Times New Roman"/>
          <w:color w:val="002060"/>
          <w:szCs w:val="20"/>
          <w:lang w:eastAsia="hr-HR"/>
        </w:rPr>
        <w:lastRenderedPageBreak/>
        <w:t xml:space="preserve">Obrasci financijskih izvještaja i upute za popunjavanje objavljuju se na </w:t>
      </w:r>
      <w:r w:rsidR="006D5AA5" w:rsidRPr="00E65842">
        <w:rPr>
          <w:rFonts w:eastAsia="Times New Roman" w:cs="Times New Roman"/>
          <w:color w:val="002060"/>
          <w:szCs w:val="20"/>
          <w:lang w:eastAsia="hr-HR"/>
        </w:rPr>
        <w:t xml:space="preserve">mrežnim stranicama </w:t>
      </w:r>
      <w:r w:rsidRPr="00E65842">
        <w:rPr>
          <w:rFonts w:eastAsia="Times New Roman" w:cs="Times New Roman"/>
          <w:color w:val="002060"/>
          <w:szCs w:val="20"/>
          <w:lang w:eastAsia="hr-HR"/>
        </w:rPr>
        <w:t>Državnog ureda za reviziju (</w:t>
      </w:r>
      <w:hyperlink r:id="rId10" w:history="1">
        <w:r w:rsidR="007A7E31" w:rsidRPr="00155A74">
          <w:rPr>
            <w:rStyle w:val="Hiperveza"/>
            <w:color w:val="984806" w:themeColor="accent6" w:themeShade="80"/>
            <w:sz w:val="22"/>
          </w:rPr>
          <w:t>http://www.revizija.hr/hr/stranke-zastupnici-vijecnici</w:t>
        </w:r>
      </w:hyperlink>
      <w:r w:rsidR="00790898" w:rsidRPr="00E65842">
        <w:rPr>
          <w:color w:val="002060"/>
        </w:rPr>
        <w:t>)</w:t>
      </w:r>
      <w:r w:rsidR="007A7E31" w:rsidRPr="00E65842">
        <w:rPr>
          <w:color w:val="002060"/>
        </w:rPr>
        <w:t>,</w:t>
      </w:r>
      <w:r w:rsidRPr="00E65842">
        <w:rPr>
          <w:rFonts w:eastAsia="Times New Roman" w:cs="Times New Roman"/>
          <w:color w:val="002060"/>
          <w:szCs w:val="20"/>
          <w:lang w:eastAsia="hr-HR"/>
        </w:rPr>
        <w:t xml:space="preserve"> Ministarstva financija (</w:t>
      </w:r>
      <w:hyperlink r:id="rId11" w:history="1">
        <w:r w:rsidR="00155A74" w:rsidRPr="00155A74">
          <w:rPr>
            <w:color w:val="984806" w:themeColor="accent6" w:themeShade="80"/>
            <w:sz w:val="22"/>
            <w:u w:val="single"/>
          </w:rPr>
          <w:t>https://mfin.gov.hr/istaknute-teme/neprofitne-organizacije/106</w:t>
        </w:r>
      </w:hyperlink>
      <w:r w:rsidRPr="00E65842">
        <w:rPr>
          <w:rFonts w:eastAsia="Times New Roman" w:cs="Times New Roman"/>
          <w:color w:val="002060"/>
          <w:szCs w:val="20"/>
          <w:lang w:eastAsia="hr-HR"/>
        </w:rPr>
        <w:t>) i FINE (</w:t>
      </w:r>
      <w:hyperlink r:id="rId12" w:history="1">
        <w:r w:rsidRPr="008472FE">
          <w:rPr>
            <w:rStyle w:val="Hiperveza"/>
            <w:rFonts w:eastAsia="Times New Roman" w:cs="Times New Roman"/>
            <w:color w:val="984806" w:themeColor="accent6" w:themeShade="80"/>
            <w:sz w:val="22"/>
            <w:lang w:eastAsia="hr-HR"/>
          </w:rPr>
          <w:t>www.fina.hr</w:t>
        </w:r>
      </w:hyperlink>
      <w:r w:rsidR="007A7E31" w:rsidRPr="00E65842">
        <w:rPr>
          <w:rFonts w:eastAsia="Times New Roman" w:cs="Times New Roman"/>
          <w:color w:val="002060"/>
          <w:szCs w:val="20"/>
          <w:lang w:eastAsia="hr-HR"/>
        </w:rPr>
        <w:t>)</w:t>
      </w:r>
      <w:r w:rsidRPr="00E65842">
        <w:rPr>
          <w:rFonts w:eastAsia="Times New Roman" w:cs="Times New Roman"/>
          <w:color w:val="002060"/>
          <w:szCs w:val="20"/>
          <w:lang w:eastAsia="hr-HR"/>
        </w:rPr>
        <w:t>.</w:t>
      </w:r>
      <w:r w:rsidRPr="008C737C">
        <w:rPr>
          <w:rFonts w:eastAsia="Times New Roman" w:cs="Times New Roman"/>
          <w:color w:val="002060"/>
          <w:szCs w:val="20"/>
          <w:lang w:eastAsia="hr-HR"/>
        </w:rPr>
        <w:t xml:space="preserve"> </w:t>
      </w:r>
    </w:p>
    <w:p w:rsidR="005176CE" w:rsidRDefault="00272AC7" w:rsidP="00F53AA3">
      <w:pPr>
        <w:tabs>
          <w:tab w:val="left" w:pos="567"/>
        </w:tabs>
        <w:overflowPunct w:val="0"/>
        <w:autoSpaceDE w:val="0"/>
        <w:autoSpaceDN w:val="0"/>
        <w:adjustRightInd w:val="0"/>
        <w:rPr>
          <w:rFonts w:eastAsia="Times New Roman" w:cs="Times New Roman"/>
          <w:color w:val="002060"/>
          <w:szCs w:val="20"/>
          <w:lang w:eastAsia="hr-HR"/>
        </w:rPr>
      </w:pPr>
      <w:r w:rsidRPr="008C737C">
        <w:rPr>
          <w:rFonts w:cs="Arial"/>
          <w:bCs/>
          <w:color w:val="002060"/>
          <w:szCs w:val="24"/>
        </w:rPr>
        <w:tab/>
      </w:r>
      <w:r w:rsidR="00155A74" w:rsidRPr="00DC3CC8">
        <w:rPr>
          <w:rFonts w:cs="Arial"/>
          <w:b/>
          <w:bCs/>
          <w:color w:val="002060"/>
          <w:szCs w:val="24"/>
        </w:rPr>
        <w:t>O</w:t>
      </w:r>
      <w:r w:rsidRPr="00DC3CC8">
        <w:rPr>
          <w:rFonts w:eastAsia="Times New Roman" w:cs="Times New Roman"/>
          <w:b/>
          <w:color w:val="002060"/>
          <w:szCs w:val="20"/>
          <w:lang w:eastAsia="hr-HR"/>
        </w:rPr>
        <w:t xml:space="preserve">brasci </w:t>
      </w:r>
      <w:r w:rsidR="00155A74" w:rsidRPr="00DC3CC8">
        <w:rPr>
          <w:rFonts w:eastAsia="Times New Roman" w:cs="Times New Roman"/>
          <w:b/>
          <w:color w:val="002060"/>
          <w:szCs w:val="20"/>
          <w:lang w:eastAsia="hr-HR"/>
        </w:rPr>
        <w:t xml:space="preserve">se popunjavaju </w:t>
      </w:r>
      <w:r w:rsidR="000C5A6A" w:rsidRPr="00DC3CC8">
        <w:rPr>
          <w:rFonts w:eastAsia="Times New Roman" w:cs="Times New Roman"/>
          <w:b/>
          <w:color w:val="002060"/>
          <w:szCs w:val="20"/>
          <w:lang w:eastAsia="hr-HR"/>
        </w:rPr>
        <w:t>unosom u informacijski sustav za nadzor financiranja</w:t>
      </w:r>
      <w:r w:rsidR="000C5A6A">
        <w:rPr>
          <w:rFonts w:eastAsia="Times New Roman" w:cs="Times New Roman"/>
          <w:color w:val="002060"/>
          <w:szCs w:val="20"/>
          <w:lang w:eastAsia="hr-HR"/>
        </w:rPr>
        <w:t xml:space="preserve"> na mrežnoj stranici Državnog izbornog povjerenstva (</w:t>
      </w:r>
      <w:hyperlink r:id="rId13" w:history="1">
        <w:r w:rsidR="000C5A6A" w:rsidRPr="000C5A6A">
          <w:rPr>
            <w:rStyle w:val="Hiperveza"/>
            <w:color w:val="984806" w:themeColor="accent6" w:themeShade="80"/>
            <w:sz w:val="22"/>
          </w:rPr>
          <w:t>https://www.izbori.hr/site/</w:t>
        </w:r>
      </w:hyperlink>
      <w:r w:rsidR="000C5A6A">
        <w:rPr>
          <w:rFonts w:eastAsia="Times New Roman" w:cs="Times New Roman"/>
          <w:color w:val="002060"/>
          <w:szCs w:val="20"/>
          <w:lang w:eastAsia="hr-HR"/>
        </w:rPr>
        <w:t>).</w:t>
      </w:r>
      <w:r w:rsidR="005176CE">
        <w:rPr>
          <w:rFonts w:eastAsia="Times New Roman" w:cs="Times New Roman"/>
          <w:color w:val="002060"/>
          <w:szCs w:val="20"/>
          <w:lang w:eastAsia="hr-HR"/>
        </w:rPr>
        <w:t xml:space="preserve"> Za pristup navedenom informacijskom sustavu potrebno </w:t>
      </w:r>
      <w:r w:rsidR="00DC3CC8">
        <w:rPr>
          <w:rFonts w:eastAsia="Times New Roman" w:cs="Times New Roman"/>
          <w:color w:val="002060"/>
          <w:szCs w:val="20"/>
          <w:lang w:eastAsia="hr-HR"/>
        </w:rPr>
        <w:t xml:space="preserve">je </w:t>
      </w:r>
      <w:r w:rsidR="005176CE">
        <w:rPr>
          <w:rFonts w:eastAsia="Times New Roman" w:cs="Times New Roman"/>
          <w:color w:val="002060"/>
          <w:szCs w:val="20"/>
          <w:lang w:eastAsia="hr-HR"/>
        </w:rPr>
        <w:t>korisničko ime i lozinka koju dodjeljuje Državno izborno povjerenstvo (zahtjev za dodjelu korisničkog imena i lozinke za pristup je objavljen na mrežnoj stranici Državnog izbornog povjerenstva (</w:t>
      </w:r>
      <w:hyperlink r:id="rId14" w:history="1">
        <w:r w:rsidR="005176CE" w:rsidRPr="005176CE">
          <w:rPr>
            <w:rStyle w:val="Hiperveza"/>
            <w:color w:val="984806" w:themeColor="accent6" w:themeShade="80"/>
            <w:sz w:val="20"/>
            <w:szCs w:val="20"/>
          </w:rPr>
          <w:t>https://www.izbori.hr/site/nadzor-financiranja/redovito-financiranje/nadzor-redovitog-financiranja-politickih-aktivnosti-1999/1999</w:t>
        </w:r>
      </w:hyperlink>
      <w:r w:rsidR="005176CE">
        <w:t>).</w:t>
      </w:r>
      <w:r w:rsidR="005176CE">
        <w:rPr>
          <w:rFonts w:eastAsia="Times New Roman" w:cs="Times New Roman"/>
          <w:color w:val="002060"/>
          <w:szCs w:val="20"/>
          <w:lang w:eastAsia="hr-HR"/>
        </w:rPr>
        <w:t xml:space="preserve"> </w:t>
      </w:r>
    </w:p>
    <w:p w:rsidR="00537FB8" w:rsidRDefault="005176CE" w:rsidP="00F53AA3">
      <w:pPr>
        <w:tabs>
          <w:tab w:val="left" w:pos="567"/>
        </w:tabs>
        <w:overflowPunct w:val="0"/>
        <w:autoSpaceDE w:val="0"/>
        <w:autoSpaceDN w:val="0"/>
        <w:adjustRightInd w:val="0"/>
        <w:rPr>
          <w:rFonts w:eastAsia="Times New Roman" w:cs="Times New Roman"/>
          <w:color w:val="002060"/>
          <w:szCs w:val="20"/>
          <w:lang w:eastAsia="hr-HR"/>
        </w:rPr>
      </w:pPr>
      <w:r>
        <w:rPr>
          <w:rFonts w:eastAsia="Times New Roman" w:cs="Times New Roman"/>
          <w:color w:val="002060"/>
          <w:szCs w:val="20"/>
          <w:lang w:eastAsia="hr-HR"/>
        </w:rPr>
        <w:tab/>
      </w:r>
      <w:r w:rsidR="009321A2">
        <w:rPr>
          <w:rFonts w:eastAsia="Times New Roman" w:cs="Times New Roman"/>
          <w:color w:val="002060"/>
          <w:szCs w:val="20"/>
          <w:lang w:eastAsia="hr-HR"/>
        </w:rPr>
        <w:t xml:space="preserve">Državno izborno povjerenstvo će omogućiti </w:t>
      </w:r>
      <w:r w:rsidR="009321A2" w:rsidRPr="00EA275A">
        <w:rPr>
          <w:rFonts w:eastAsia="Times New Roman" w:cs="Times New Roman"/>
          <w:b/>
          <w:color w:val="002060"/>
          <w:szCs w:val="20"/>
          <w:lang w:eastAsia="hr-HR"/>
        </w:rPr>
        <w:t>Državnom uredu za reviziju</w:t>
      </w:r>
      <w:r w:rsidR="009321A2">
        <w:rPr>
          <w:rFonts w:eastAsia="Times New Roman" w:cs="Times New Roman"/>
          <w:color w:val="002060"/>
          <w:szCs w:val="20"/>
          <w:lang w:eastAsia="hr-HR"/>
        </w:rPr>
        <w:t xml:space="preserve"> preuzimanje financijskih izvještaja sa sastavnim dijelovima odmah nakon unosa podataka </w:t>
      </w:r>
      <w:r w:rsidR="00EA275A">
        <w:rPr>
          <w:rFonts w:eastAsia="Times New Roman" w:cs="Times New Roman"/>
          <w:color w:val="002060"/>
          <w:szCs w:val="20"/>
          <w:lang w:eastAsia="hr-HR"/>
        </w:rPr>
        <w:t xml:space="preserve">u </w:t>
      </w:r>
      <w:r w:rsidR="009321A2">
        <w:rPr>
          <w:rFonts w:eastAsia="Times New Roman" w:cs="Times New Roman"/>
          <w:color w:val="002060"/>
          <w:szCs w:val="20"/>
          <w:lang w:eastAsia="hr-HR"/>
        </w:rPr>
        <w:t xml:space="preserve">navedeni informacijski sustav. </w:t>
      </w:r>
      <w:r w:rsidRPr="00477F15">
        <w:rPr>
          <w:rFonts w:eastAsia="Times New Roman" w:cs="Times New Roman"/>
          <w:b/>
          <w:color w:val="002060"/>
          <w:szCs w:val="20"/>
          <w:lang w:eastAsia="hr-HR"/>
        </w:rPr>
        <w:t>S obzirom da su financijski izvještaji za 2019., prvi godišnji financijski izvještaji koji se dostavljaju na navedeni način, u slučaju poteškoća oko unosa i slično,</w:t>
      </w:r>
      <w:r>
        <w:rPr>
          <w:rFonts w:eastAsia="Times New Roman" w:cs="Times New Roman"/>
          <w:color w:val="002060"/>
          <w:szCs w:val="20"/>
          <w:lang w:eastAsia="hr-HR"/>
        </w:rPr>
        <w:t xml:space="preserve"> </w:t>
      </w:r>
      <w:r w:rsidR="00F84691" w:rsidRPr="00DC3CC8">
        <w:rPr>
          <w:rFonts w:eastAsia="Times New Roman" w:cs="Times New Roman"/>
          <w:b/>
          <w:color w:val="002060"/>
          <w:szCs w:val="20"/>
          <w:lang w:eastAsia="hr-HR"/>
        </w:rPr>
        <w:t xml:space="preserve">iznimno će </w:t>
      </w:r>
      <w:r w:rsidRPr="00DC3CC8">
        <w:rPr>
          <w:rFonts w:eastAsia="Times New Roman" w:cs="Times New Roman"/>
          <w:b/>
          <w:color w:val="002060"/>
          <w:szCs w:val="20"/>
          <w:lang w:eastAsia="hr-HR"/>
        </w:rPr>
        <w:t xml:space="preserve">Državni ured za reviziju </w:t>
      </w:r>
      <w:r w:rsidR="009321A2" w:rsidRPr="00DC3CC8">
        <w:rPr>
          <w:rFonts w:eastAsia="Times New Roman" w:cs="Times New Roman"/>
          <w:b/>
          <w:color w:val="002060"/>
          <w:szCs w:val="20"/>
          <w:lang w:eastAsia="hr-HR"/>
        </w:rPr>
        <w:t>i nadalje zaprimati navedene financijske izvještaje dostavljene i u drugačijem obliku:</w:t>
      </w:r>
      <w:r w:rsidR="009321A2">
        <w:rPr>
          <w:rFonts w:eastAsia="Times New Roman" w:cs="Times New Roman"/>
          <w:color w:val="002060"/>
          <w:szCs w:val="20"/>
          <w:lang w:eastAsia="hr-HR"/>
        </w:rPr>
        <w:t xml:space="preserve"> osobno ili poštom u papirnatom obliku</w:t>
      </w:r>
      <w:r w:rsidR="00EA275A">
        <w:rPr>
          <w:rFonts w:eastAsia="Times New Roman" w:cs="Times New Roman"/>
          <w:color w:val="002060"/>
          <w:szCs w:val="20"/>
          <w:lang w:eastAsia="hr-HR"/>
        </w:rPr>
        <w:t xml:space="preserve"> (</w:t>
      </w:r>
      <w:r w:rsidR="00EA275A" w:rsidRPr="008C737C">
        <w:rPr>
          <w:rFonts w:eastAsia="Times New Roman" w:cs="Times New Roman"/>
          <w:color w:val="002060"/>
          <w:szCs w:val="20"/>
          <w:lang w:eastAsia="hr-HR"/>
        </w:rPr>
        <w:t>Državni ured za reviziju, Tkalčićeva 19, 10 000 Zagreb</w:t>
      </w:r>
      <w:r w:rsidR="00EA275A">
        <w:rPr>
          <w:rFonts w:eastAsia="Times New Roman" w:cs="Times New Roman"/>
          <w:color w:val="002060"/>
          <w:szCs w:val="20"/>
          <w:lang w:eastAsia="hr-HR"/>
        </w:rPr>
        <w:t>), odnosno elektroničkom poštom (</w:t>
      </w:r>
      <w:r w:rsidR="00A87E89" w:rsidRPr="009407DF">
        <w:rPr>
          <w:rFonts w:eastAsia="Times New Roman" w:cs="Times New Roman"/>
          <w:color w:val="002060"/>
          <w:szCs w:val="20"/>
          <w:lang w:eastAsia="hr-HR"/>
        </w:rPr>
        <w:t>e-</w:t>
      </w:r>
      <w:r w:rsidR="00B32FB6">
        <w:rPr>
          <w:rFonts w:eastAsia="Times New Roman" w:cs="Times New Roman"/>
          <w:color w:val="002060"/>
          <w:szCs w:val="20"/>
          <w:lang w:eastAsia="hr-HR"/>
        </w:rPr>
        <w:t>adresa</w:t>
      </w:r>
      <w:r w:rsidR="00A87E89" w:rsidRPr="009407DF">
        <w:rPr>
          <w:rFonts w:eastAsia="Times New Roman" w:cs="Times New Roman"/>
          <w:color w:val="002060"/>
          <w:szCs w:val="20"/>
          <w:lang w:eastAsia="hr-HR"/>
        </w:rPr>
        <w:t xml:space="preserve">: </w:t>
      </w:r>
      <w:hyperlink r:id="rId15" w:history="1">
        <w:r w:rsidR="009407DF" w:rsidRPr="009321A2">
          <w:rPr>
            <w:rStyle w:val="Hiperveza"/>
            <w:rFonts w:eastAsia="Times New Roman" w:cs="Times New Roman"/>
            <w:color w:val="984806" w:themeColor="accent6" w:themeShade="80"/>
            <w:sz w:val="22"/>
            <w:lang w:eastAsia="hr-HR"/>
          </w:rPr>
          <w:t>politicke.aktivnosti@revizija.hr</w:t>
        </w:r>
      </w:hyperlink>
      <w:r w:rsidR="009407DF">
        <w:rPr>
          <w:rFonts w:eastAsia="Times New Roman" w:cs="Times New Roman"/>
          <w:color w:val="002060"/>
          <w:szCs w:val="20"/>
          <w:lang w:eastAsia="hr-HR"/>
        </w:rPr>
        <w:t>)</w:t>
      </w:r>
      <w:r w:rsidR="009321A2">
        <w:rPr>
          <w:rFonts w:eastAsia="Times New Roman" w:cs="Times New Roman"/>
          <w:color w:val="002060"/>
          <w:szCs w:val="20"/>
          <w:lang w:eastAsia="hr-HR"/>
        </w:rPr>
        <w:t xml:space="preserve">. </w:t>
      </w:r>
    </w:p>
    <w:p w:rsidR="003463B4" w:rsidRDefault="00537FB8" w:rsidP="003463B4">
      <w:pPr>
        <w:tabs>
          <w:tab w:val="left" w:pos="567"/>
        </w:tabs>
        <w:rPr>
          <w:rFonts w:eastAsia="Times New Roman" w:cs="Times New Roman"/>
          <w:b/>
          <w:color w:val="002060"/>
          <w:szCs w:val="20"/>
          <w:lang w:eastAsia="hr-HR"/>
        </w:rPr>
      </w:pPr>
      <w:r>
        <w:rPr>
          <w:rFonts w:eastAsia="Times New Roman" w:cs="Times New Roman"/>
          <w:color w:val="002060"/>
          <w:szCs w:val="20"/>
          <w:lang w:eastAsia="hr-HR"/>
        </w:rPr>
        <w:tab/>
      </w:r>
      <w:r w:rsidR="00623AA4" w:rsidRPr="00620650">
        <w:rPr>
          <w:rFonts w:eastAsia="Times New Roman" w:cs="Times New Roman"/>
          <w:b/>
          <w:color w:val="002060"/>
          <w:szCs w:val="20"/>
          <w:lang w:eastAsia="hr-HR"/>
        </w:rPr>
        <w:t xml:space="preserve">Kako je prethodno obrazloženo u ovoj obavijesti, </w:t>
      </w:r>
      <w:r w:rsidR="003463B4">
        <w:rPr>
          <w:rFonts w:eastAsia="Times New Roman" w:cs="Times New Roman"/>
          <w:b/>
          <w:color w:val="002060"/>
          <w:szCs w:val="20"/>
          <w:lang w:eastAsia="hr-HR"/>
        </w:rPr>
        <w:t xml:space="preserve">jedino dostava financijskih izvještaja sa sastavnim dijelovima, unosom u informacijski sustav za nadzor financiranja, u smislu članka 52. Zakona o financiranju političkih aktivnosti, izborne promidžbe i referenduma, smatra se propisanom dostavom </w:t>
      </w:r>
      <w:r w:rsidR="00DC6877">
        <w:rPr>
          <w:rFonts w:eastAsia="Times New Roman" w:cs="Times New Roman"/>
          <w:b/>
          <w:color w:val="002060"/>
          <w:szCs w:val="20"/>
          <w:lang w:eastAsia="hr-HR"/>
        </w:rPr>
        <w:t xml:space="preserve">navedenih </w:t>
      </w:r>
      <w:r w:rsidR="003463B4">
        <w:rPr>
          <w:rFonts w:eastAsia="Times New Roman" w:cs="Times New Roman"/>
          <w:b/>
          <w:color w:val="002060"/>
          <w:szCs w:val="20"/>
          <w:lang w:eastAsia="hr-HR"/>
        </w:rPr>
        <w:t xml:space="preserve">financijskih izvještaja. </w:t>
      </w:r>
    </w:p>
    <w:p w:rsidR="009321A2" w:rsidRDefault="009321A2" w:rsidP="00F53AA3">
      <w:pPr>
        <w:tabs>
          <w:tab w:val="left" w:pos="567"/>
        </w:tabs>
        <w:overflowPunct w:val="0"/>
        <w:autoSpaceDE w:val="0"/>
        <w:autoSpaceDN w:val="0"/>
        <w:adjustRightInd w:val="0"/>
        <w:rPr>
          <w:rFonts w:eastAsia="Times New Roman" w:cs="Times New Roman"/>
          <w:color w:val="002060"/>
          <w:szCs w:val="20"/>
          <w:lang w:eastAsia="hr-HR"/>
        </w:rPr>
      </w:pPr>
    </w:p>
    <w:p w:rsidR="00B32FB6" w:rsidRDefault="00B32FB6" w:rsidP="00A87E89">
      <w:pPr>
        <w:overflowPunct w:val="0"/>
        <w:autoSpaceDE w:val="0"/>
        <w:autoSpaceDN w:val="0"/>
        <w:adjustRightInd w:val="0"/>
        <w:ind w:firstLine="708"/>
        <w:rPr>
          <w:rFonts w:eastAsia="Times New Roman" w:cs="Times New Roman"/>
          <w:color w:val="002060"/>
          <w:szCs w:val="20"/>
          <w:lang w:eastAsia="hr-HR"/>
        </w:rPr>
      </w:pPr>
    </w:p>
    <w:p w:rsidR="008F0CA4" w:rsidRDefault="008F0CA4" w:rsidP="008F0CA4">
      <w:pPr>
        <w:overflowPunct w:val="0"/>
        <w:autoSpaceDE w:val="0"/>
        <w:autoSpaceDN w:val="0"/>
        <w:adjustRightInd w:val="0"/>
        <w:rPr>
          <w:rFonts w:eastAsia="Times New Roman" w:cs="Times New Roman"/>
          <w:color w:val="002060"/>
          <w:szCs w:val="20"/>
          <w:lang w:eastAsia="hr-HR"/>
        </w:rPr>
      </w:pPr>
      <w:r>
        <w:rPr>
          <w:noProof/>
          <w:color w:val="002060"/>
          <w:lang w:eastAsia="hr-HR"/>
        </w:rPr>
        <mc:AlternateContent>
          <mc:Choice Requires="wps">
            <w:drawing>
              <wp:anchor distT="0" distB="0" distL="114300" distR="114300" simplePos="0" relativeHeight="251663360" behindDoc="1" locked="0" layoutInCell="1" allowOverlap="1" wp14:anchorId="132711EA" wp14:editId="5CE6F23B">
                <wp:simplePos x="0" y="0"/>
                <wp:positionH relativeFrom="margin">
                  <wp:posOffset>3810</wp:posOffset>
                </wp:positionH>
                <wp:positionV relativeFrom="paragraph">
                  <wp:posOffset>30480</wp:posOffset>
                </wp:positionV>
                <wp:extent cx="3343275" cy="304800"/>
                <wp:effectExtent l="0" t="0" r="28575" b="19050"/>
                <wp:wrapTight wrapText="bothSides">
                  <wp:wrapPolygon edited="0">
                    <wp:start x="0" y="0"/>
                    <wp:lineTo x="0" y="21600"/>
                    <wp:lineTo x="21662" y="21600"/>
                    <wp:lineTo x="21662" y="0"/>
                    <wp:lineTo x="0" y="0"/>
                  </wp:wrapPolygon>
                </wp:wrapTight>
                <wp:docPr id="4" name="Zaobljeni pravokutnik 4"/>
                <wp:cNvGraphicFramePr/>
                <a:graphic xmlns:a="http://schemas.openxmlformats.org/drawingml/2006/main">
                  <a:graphicData uri="http://schemas.microsoft.com/office/word/2010/wordprocessingShape">
                    <wps:wsp>
                      <wps:cNvSpPr/>
                      <wps:spPr>
                        <a:xfrm>
                          <a:off x="0" y="0"/>
                          <a:ext cx="3343275" cy="304800"/>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8F0CA4" w:rsidRPr="008F0CA4" w:rsidRDefault="008F0CA4" w:rsidP="008F0CA4">
                            <w:pPr>
                              <w:overflowPunct w:val="0"/>
                              <w:autoSpaceDE w:val="0"/>
                              <w:autoSpaceDN w:val="0"/>
                              <w:adjustRightInd w:val="0"/>
                              <w:rPr>
                                <w:b/>
                                <w:color w:val="002060"/>
                                <w:sz w:val="22"/>
                              </w:rPr>
                            </w:pPr>
                            <w:r w:rsidRPr="008F0CA4">
                              <w:rPr>
                                <w:rFonts w:eastAsia="Times New Roman" w:cs="Times New Roman"/>
                                <w:b/>
                                <w:i/>
                                <w:color w:val="002060"/>
                                <w:sz w:val="22"/>
                                <w:lang w:eastAsia="hr-HR"/>
                              </w:rPr>
                              <w:t>OBJAVA FINANCIJSKIH IZVJEŠTAJA ZA 201</w:t>
                            </w:r>
                            <w:r w:rsidR="009309F1">
                              <w:rPr>
                                <w:rFonts w:eastAsia="Times New Roman" w:cs="Times New Roman"/>
                                <w:b/>
                                <w:i/>
                                <w:color w:val="002060"/>
                                <w:sz w:val="22"/>
                                <w:lang w:eastAsia="hr-HR"/>
                              </w:rPr>
                              <w:t>9</w:t>
                            </w:r>
                            <w:r w:rsidRPr="008F0CA4">
                              <w:rPr>
                                <w:rFonts w:eastAsia="Times New Roman" w:cs="Times New Roman"/>
                                <w:b/>
                                <w:i/>
                                <w:color w:val="002060"/>
                                <w:sz w:val="22"/>
                                <w:lang w:eastAsia="hr-HR"/>
                              </w:rPr>
                              <w:t>.</w:t>
                            </w:r>
                          </w:p>
                          <w:p w:rsidR="008F0CA4" w:rsidRPr="00FA3102" w:rsidRDefault="008F0CA4" w:rsidP="008F0CA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711EA" id="Zaobljeni pravokutnik 4" o:spid="_x0000_s1028" style="position:absolute;left:0;text-align:left;margin-left:.3pt;margin-top:2.4pt;width:263.25pt;height:2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" fillcolor="white [3201]" strokecolor="#002060" strokeweight="2pt">
                <v:textbox>
                  <w:txbxContent>
                    <w:p w:rsidR="008F0CA4" w:rsidRPr="008F0CA4" w:rsidRDefault="008F0CA4" w:rsidP="008F0CA4">
                      <w:pPr>
                        <w:overflowPunct w:val="0"/>
                        <w:autoSpaceDE w:val="0"/>
                        <w:autoSpaceDN w:val="0"/>
                        <w:adjustRightInd w:val="0"/>
                        <w:rPr>
                          <w:b/>
                          <w:color w:val="002060"/>
                          <w:sz w:val="22"/>
                        </w:rPr>
                      </w:pPr>
                      <w:r w:rsidRPr="008F0CA4">
                        <w:rPr>
                          <w:rFonts w:eastAsia="Times New Roman" w:cs="Times New Roman"/>
                          <w:b/>
                          <w:i/>
                          <w:color w:val="002060"/>
                          <w:sz w:val="22"/>
                          <w:lang w:eastAsia="hr-HR"/>
                        </w:rPr>
                        <w:t>OBJAVA FINANCIJSKIH IZVJEŠTAJA ZA 201</w:t>
                      </w:r>
                      <w:r w:rsidR="009309F1">
                        <w:rPr>
                          <w:rFonts w:eastAsia="Times New Roman" w:cs="Times New Roman"/>
                          <w:b/>
                          <w:i/>
                          <w:color w:val="002060"/>
                          <w:sz w:val="22"/>
                          <w:lang w:eastAsia="hr-HR"/>
                        </w:rPr>
                        <w:t>9</w:t>
                      </w:r>
                      <w:r w:rsidRPr="008F0CA4">
                        <w:rPr>
                          <w:rFonts w:eastAsia="Times New Roman" w:cs="Times New Roman"/>
                          <w:b/>
                          <w:i/>
                          <w:color w:val="002060"/>
                          <w:sz w:val="22"/>
                          <w:lang w:eastAsia="hr-HR"/>
                        </w:rPr>
                        <w:t>.</w:t>
                      </w:r>
                    </w:p>
                    <w:p w:rsidR="008F0CA4" w:rsidRPr="00FA3102" w:rsidRDefault="008F0CA4" w:rsidP="008F0CA4">
                      <w:pPr>
                        <w:jc w:val="center"/>
                        <w:rPr>
                          <w:sz w:val="20"/>
                          <w:szCs w:val="20"/>
                        </w:rPr>
                      </w:pPr>
                    </w:p>
                  </w:txbxContent>
                </v:textbox>
                <w10:wrap type="tight" anchorx="margin"/>
              </v:roundrect>
            </w:pict>
          </mc:Fallback>
        </mc:AlternateContent>
      </w:r>
    </w:p>
    <w:p w:rsidR="008F0CA4" w:rsidRDefault="008F0CA4" w:rsidP="00A87E89">
      <w:pPr>
        <w:overflowPunct w:val="0"/>
        <w:autoSpaceDE w:val="0"/>
        <w:autoSpaceDN w:val="0"/>
        <w:adjustRightInd w:val="0"/>
        <w:ind w:firstLine="708"/>
        <w:rPr>
          <w:rFonts w:eastAsia="Times New Roman" w:cs="Times New Roman"/>
          <w:color w:val="002060"/>
          <w:szCs w:val="20"/>
          <w:lang w:eastAsia="hr-HR"/>
        </w:rPr>
      </w:pPr>
    </w:p>
    <w:p w:rsidR="008F0CA4" w:rsidRDefault="008F0CA4" w:rsidP="00A87E89">
      <w:pPr>
        <w:overflowPunct w:val="0"/>
        <w:autoSpaceDE w:val="0"/>
        <w:autoSpaceDN w:val="0"/>
        <w:adjustRightInd w:val="0"/>
        <w:ind w:firstLine="708"/>
        <w:rPr>
          <w:rFonts w:eastAsia="Times New Roman" w:cs="Times New Roman"/>
          <w:color w:val="002060"/>
          <w:szCs w:val="20"/>
          <w:lang w:eastAsia="hr-HR"/>
        </w:rPr>
      </w:pPr>
    </w:p>
    <w:p w:rsidR="009309F1" w:rsidRDefault="00272AC7" w:rsidP="009309F1">
      <w:pPr>
        <w:tabs>
          <w:tab w:val="left" w:pos="567"/>
        </w:tabs>
        <w:autoSpaceDE w:val="0"/>
        <w:autoSpaceDN w:val="0"/>
        <w:adjustRightInd w:val="0"/>
        <w:rPr>
          <w:rFonts w:cs="Arial"/>
          <w:bCs/>
          <w:color w:val="002060"/>
          <w:szCs w:val="24"/>
        </w:rPr>
      </w:pPr>
      <w:r w:rsidRPr="008C737C">
        <w:rPr>
          <w:rFonts w:cs="Arial"/>
          <w:bCs/>
          <w:color w:val="002060"/>
          <w:szCs w:val="24"/>
        </w:rPr>
        <w:tab/>
      </w:r>
      <w:r w:rsidR="009309F1" w:rsidRPr="008C737C">
        <w:rPr>
          <w:rFonts w:cs="Arial"/>
          <w:bCs/>
          <w:color w:val="002060"/>
          <w:szCs w:val="24"/>
        </w:rPr>
        <w:t xml:space="preserve">Prema odredbama članka </w:t>
      </w:r>
      <w:r w:rsidR="009309F1">
        <w:rPr>
          <w:rFonts w:cs="Arial"/>
          <w:bCs/>
          <w:color w:val="002060"/>
          <w:szCs w:val="24"/>
        </w:rPr>
        <w:t>62</w:t>
      </w:r>
      <w:r w:rsidR="009309F1" w:rsidRPr="008C737C">
        <w:rPr>
          <w:rFonts w:cs="Arial"/>
          <w:bCs/>
          <w:color w:val="002060"/>
          <w:szCs w:val="24"/>
        </w:rPr>
        <w:t xml:space="preserve">. </w:t>
      </w:r>
      <w:r w:rsidR="009309F1">
        <w:rPr>
          <w:rFonts w:cs="Arial"/>
          <w:bCs/>
          <w:color w:val="002060"/>
          <w:szCs w:val="24"/>
        </w:rPr>
        <w:t xml:space="preserve">Zakona o financiranju političkih aktivnosti, izborne promidžbe i referenduma, godišnji financijski izvještaji političkih stranaka, nezavisnih zastupnika i nezavisnih vijećnika, zajedno s propisanim prilozima, javni su dokumenti, a njihovu objavu je </w:t>
      </w:r>
      <w:r w:rsidR="009309F1" w:rsidRPr="008B15BF">
        <w:rPr>
          <w:rFonts w:cs="Arial"/>
          <w:b/>
          <w:bCs/>
          <w:color w:val="002060"/>
          <w:szCs w:val="24"/>
        </w:rPr>
        <w:t>dužno osigurati Državno izborno povjerenstvo na svojim mrežnim stranicama</w:t>
      </w:r>
      <w:r w:rsidR="009309F1">
        <w:rPr>
          <w:rFonts w:cs="Arial"/>
          <w:bCs/>
          <w:color w:val="002060"/>
          <w:szCs w:val="24"/>
        </w:rPr>
        <w:t>, od prvog radnog dana do dana njihove dostave Državnom uredu za reviziju i Državnom izbornom povjerenstvu unosom u informacijski sustav za nadzor financiranja.</w:t>
      </w:r>
    </w:p>
    <w:p w:rsidR="009309F1" w:rsidRDefault="009309F1" w:rsidP="009309F1">
      <w:pPr>
        <w:tabs>
          <w:tab w:val="left" w:pos="567"/>
        </w:tabs>
        <w:autoSpaceDE w:val="0"/>
        <w:autoSpaceDN w:val="0"/>
        <w:adjustRightInd w:val="0"/>
        <w:rPr>
          <w:rFonts w:cs="Arial"/>
          <w:bCs/>
          <w:color w:val="002060"/>
          <w:szCs w:val="24"/>
        </w:rPr>
      </w:pPr>
      <w:r>
        <w:rPr>
          <w:rFonts w:cs="Arial"/>
          <w:bCs/>
          <w:color w:val="002060"/>
          <w:szCs w:val="24"/>
        </w:rPr>
        <w:tab/>
        <w:t xml:space="preserve">Godišnji financijski izvještaji s propisanim prilozima trajno se pohranjuju u informacijskom sustavu za nadzor financiranja i </w:t>
      </w:r>
      <w:r w:rsidRPr="00786AC7">
        <w:rPr>
          <w:rFonts w:cs="Arial"/>
          <w:b/>
          <w:bCs/>
          <w:color w:val="002060"/>
          <w:szCs w:val="24"/>
        </w:rPr>
        <w:t>javno su dostupni na mrežnim stranicama Državnog izbornog povjerenstva na lako pretraživ način po različitim osnovama, u strojno čitljivom i otvorenom obliku</w:t>
      </w:r>
      <w:r>
        <w:rPr>
          <w:rFonts w:cs="Arial"/>
          <w:bCs/>
          <w:color w:val="002060"/>
          <w:szCs w:val="24"/>
        </w:rPr>
        <w:t>. Podaci sadržani u prilozima godišnjeg financijskog izvještaja, a koji se odnose na adrese fizičkih osoba donatora te na adrese fizičkih osoba primatelja sadržanih u izvješću o troškovima izborne promidžbe ne objavljuju se.</w:t>
      </w:r>
    </w:p>
    <w:p w:rsidR="009309F1" w:rsidRDefault="009309F1" w:rsidP="009309F1">
      <w:pPr>
        <w:tabs>
          <w:tab w:val="left" w:pos="567"/>
        </w:tabs>
        <w:autoSpaceDE w:val="0"/>
        <w:autoSpaceDN w:val="0"/>
        <w:adjustRightInd w:val="0"/>
        <w:rPr>
          <w:rFonts w:cs="Arial"/>
          <w:bCs/>
          <w:color w:val="002060"/>
          <w:szCs w:val="24"/>
        </w:rPr>
      </w:pPr>
      <w:r>
        <w:rPr>
          <w:rFonts w:cs="Arial"/>
          <w:bCs/>
          <w:color w:val="002060"/>
          <w:szCs w:val="24"/>
        </w:rPr>
        <w:tab/>
        <w:t xml:space="preserve">Godišnje financijske izvještaje s propisanim prilozima, političke stranke, nezavisni zastupnici i nezavisni vijećnici dužni su </w:t>
      </w:r>
      <w:r w:rsidRPr="00786AC7">
        <w:rPr>
          <w:rFonts w:cs="Arial"/>
          <w:b/>
          <w:bCs/>
          <w:color w:val="002060"/>
          <w:szCs w:val="24"/>
        </w:rPr>
        <w:t>trajno čuvati u izvorniku</w:t>
      </w:r>
      <w:r>
        <w:rPr>
          <w:rFonts w:cs="Arial"/>
          <w:bCs/>
          <w:color w:val="002060"/>
          <w:szCs w:val="24"/>
        </w:rPr>
        <w:t xml:space="preserve">. </w:t>
      </w:r>
    </w:p>
    <w:p w:rsidR="00304CDC" w:rsidRDefault="00304CDC" w:rsidP="009309F1">
      <w:pPr>
        <w:tabs>
          <w:tab w:val="left" w:pos="567"/>
        </w:tabs>
        <w:autoSpaceDE w:val="0"/>
        <w:autoSpaceDN w:val="0"/>
        <w:adjustRightInd w:val="0"/>
        <w:rPr>
          <w:rFonts w:cs="Arial"/>
          <w:bCs/>
          <w:color w:val="002060"/>
          <w:szCs w:val="24"/>
        </w:rPr>
      </w:pPr>
      <w:r>
        <w:rPr>
          <w:rFonts w:cs="Arial"/>
          <w:bCs/>
          <w:color w:val="002060"/>
          <w:szCs w:val="24"/>
        </w:rPr>
        <w:t xml:space="preserve"> </w:t>
      </w:r>
    </w:p>
    <w:p w:rsidR="0091219F" w:rsidRDefault="0091219F" w:rsidP="009309F1">
      <w:pPr>
        <w:tabs>
          <w:tab w:val="left" w:pos="567"/>
        </w:tabs>
        <w:autoSpaceDE w:val="0"/>
        <w:autoSpaceDN w:val="0"/>
        <w:adjustRightInd w:val="0"/>
        <w:rPr>
          <w:rFonts w:cs="Arial"/>
          <w:bCs/>
          <w:color w:val="002060"/>
          <w:szCs w:val="24"/>
        </w:rPr>
      </w:pPr>
    </w:p>
    <w:p w:rsidR="0091219F" w:rsidRDefault="0091219F" w:rsidP="009309F1">
      <w:pPr>
        <w:tabs>
          <w:tab w:val="left" w:pos="567"/>
        </w:tabs>
        <w:autoSpaceDE w:val="0"/>
        <w:autoSpaceDN w:val="0"/>
        <w:adjustRightInd w:val="0"/>
        <w:rPr>
          <w:rFonts w:cs="Arial"/>
          <w:bCs/>
          <w:color w:val="002060"/>
          <w:szCs w:val="24"/>
        </w:rPr>
      </w:pPr>
    </w:p>
    <w:p w:rsidR="0091219F" w:rsidRDefault="0091219F" w:rsidP="009309F1">
      <w:pPr>
        <w:tabs>
          <w:tab w:val="left" w:pos="567"/>
        </w:tabs>
        <w:autoSpaceDE w:val="0"/>
        <w:autoSpaceDN w:val="0"/>
        <w:adjustRightInd w:val="0"/>
        <w:rPr>
          <w:rFonts w:cs="Arial"/>
          <w:bCs/>
          <w:color w:val="002060"/>
          <w:szCs w:val="24"/>
        </w:rPr>
      </w:pPr>
    </w:p>
    <w:p w:rsidR="0091219F" w:rsidRDefault="0091219F" w:rsidP="009309F1">
      <w:pPr>
        <w:tabs>
          <w:tab w:val="left" w:pos="567"/>
        </w:tabs>
        <w:autoSpaceDE w:val="0"/>
        <w:autoSpaceDN w:val="0"/>
        <w:adjustRightInd w:val="0"/>
        <w:rPr>
          <w:rFonts w:cs="Arial"/>
          <w:bCs/>
          <w:color w:val="002060"/>
          <w:szCs w:val="24"/>
        </w:rPr>
      </w:pPr>
    </w:p>
    <w:p w:rsidR="0091219F" w:rsidRDefault="0091219F" w:rsidP="009309F1">
      <w:pPr>
        <w:tabs>
          <w:tab w:val="left" w:pos="567"/>
        </w:tabs>
        <w:autoSpaceDE w:val="0"/>
        <w:autoSpaceDN w:val="0"/>
        <w:adjustRightInd w:val="0"/>
        <w:rPr>
          <w:rFonts w:cs="Arial"/>
          <w:bCs/>
          <w:color w:val="002060"/>
          <w:szCs w:val="24"/>
        </w:rPr>
      </w:pPr>
    </w:p>
    <w:p w:rsidR="0091219F" w:rsidRDefault="0091219F" w:rsidP="009309F1">
      <w:pPr>
        <w:tabs>
          <w:tab w:val="left" w:pos="567"/>
        </w:tabs>
        <w:autoSpaceDE w:val="0"/>
        <w:autoSpaceDN w:val="0"/>
        <w:adjustRightInd w:val="0"/>
        <w:rPr>
          <w:rFonts w:cs="Arial"/>
          <w:bCs/>
          <w:color w:val="002060"/>
          <w:szCs w:val="24"/>
        </w:rPr>
      </w:pPr>
    </w:p>
    <w:p w:rsidR="008F0CA4" w:rsidRDefault="009309F1" w:rsidP="00B32FB6">
      <w:pPr>
        <w:tabs>
          <w:tab w:val="left" w:pos="567"/>
        </w:tabs>
        <w:autoSpaceDE w:val="0"/>
        <w:autoSpaceDN w:val="0"/>
        <w:adjustRightInd w:val="0"/>
        <w:rPr>
          <w:rFonts w:cs="Arial"/>
          <w:bCs/>
          <w:color w:val="002060"/>
          <w:szCs w:val="24"/>
        </w:rPr>
      </w:pPr>
      <w:r>
        <w:rPr>
          <w:noProof/>
          <w:color w:val="002060"/>
          <w:lang w:eastAsia="hr-HR"/>
        </w:rPr>
        <w:lastRenderedPageBreak/>
        <mc:AlternateContent>
          <mc:Choice Requires="wps">
            <w:drawing>
              <wp:anchor distT="0" distB="0" distL="114300" distR="114300" simplePos="0" relativeHeight="251671552" behindDoc="1" locked="0" layoutInCell="1" allowOverlap="1" wp14:anchorId="6B61EE75" wp14:editId="2705E828">
                <wp:simplePos x="0" y="0"/>
                <wp:positionH relativeFrom="margin">
                  <wp:posOffset>0</wp:posOffset>
                </wp:positionH>
                <wp:positionV relativeFrom="paragraph">
                  <wp:posOffset>171450</wp:posOffset>
                </wp:positionV>
                <wp:extent cx="4562475" cy="476250"/>
                <wp:effectExtent l="0" t="0" r="28575" b="19050"/>
                <wp:wrapTight wrapText="bothSides">
                  <wp:wrapPolygon edited="0">
                    <wp:start x="0" y="0"/>
                    <wp:lineTo x="0" y="21600"/>
                    <wp:lineTo x="21645" y="21600"/>
                    <wp:lineTo x="21645" y="0"/>
                    <wp:lineTo x="0" y="0"/>
                  </wp:wrapPolygon>
                </wp:wrapTight>
                <wp:docPr id="8" name="Zaobljeni pravokutnik 8"/>
                <wp:cNvGraphicFramePr/>
                <a:graphic xmlns:a="http://schemas.openxmlformats.org/drawingml/2006/main">
                  <a:graphicData uri="http://schemas.microsoft.com/office/word/2010/wordprocessingShape">
                    <wps:wsp>
                      <wps:cNvSpPr/>
                      <wps:spPr>
                        <a:xfrm>
                          <a:off x="0" y="0"/>
                          <a:ext cx="4562475" cy="476250"/>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9309F1" w:rsidRPr="00FA3102" w:rsidRDefault="009309F1" w:rsidP="009309F1">
                            <w:pPr>
                              <w:autoSpaceDE w:val="0"/>
                              <w:autoSpaceDN w:val="0"/>
                              <w:adjustRightInd w:val="0"/>
                              <w:rPr>
                                <w:sz w:val="20"/>
                                <w:szCs w:val="20"/>
                              </w:rPr>
                            </w:pPr>
                            <w:r w:rsidRPr="008F0CA4">
                              <w:rPr>
                                <w:rFonts w:cs="Arial"/>
                                <w:b/>
                                <w:bCs/>
                                <w:i/>
                                <w:color w:val="002060"/>
                                <w:sz w:val="22"/>
                              </w:rPr>
                              <w:t xml:space="preserve">POLITIČKE STRANKE </w:t>
                            </w:r>
                            <w:r>
                              <w:rPr>
                                <w:rFonts w:cs="Arial"/>
                                <w:b/>
                                <w:bCs/>
                                <w:i/>
                                <w:color w:val="002060"/>
                                <w:sz w:val="22"/>
                              </w:rPr>
                              <w:t xml:space="preserve">KOD KOJIH JE DOŠLO DO STATUSNIH PROMJENA ILI </w:t>
                            </w:r>
                            <w:r w:rsidRPr="008F0CA4">
                              <w:rPr>
                                <w:rFonts w:cs="Arial"/>
                                <w:b/>
                                <w:bCs/>
                                <w:i/>
                                <w:color w:val="002060"/>
                                <w:sz w:val="22"/>
                              </w:rPr>
                              <w:t xml:space="preserve">SU </w:t>
                            </w:r>
                            <w:r>
                              <w:rPr>
                                <w:rFonts w:cs="Arial"/>
                                <w:b/>
                                <w:bCs/>
                                <w:i/>
                                <w:color w:val="002060"/>
                                <w:sz w:val="22"/>
                              </w:rPr>
                              <w:t xml:space="preserve">PRESTALE DJELOVATI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1EE75" id="Zaobljeni pravokutnik 8" o:spid="_x0000_s1029" style="position:absolute;left:0;text-align:left;margin-left:0;margin-top:13.5pt;width:359.25pt;height:3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" fillcolor="white [3201]" strokecolor="#002060" strokeweight="2pt">
                <v:textbox>
                  <w:txbxContent>
                    <w:p w:rsidR="009309F1" w:rsidRPr="00FA3102" w:rsidRDefault="009309F1" w:rsidP="009309F1">
                      <w:pPr>
                        <w:autoSpaceDE w:val="0"/>
                        <w:autoSpaceDN w:val="0"/>
                        <w:adjustRightInd w:val="0"/>
                        <w:rPr>
                          <w:sz w:val="20"/>
                          <w:szCs w:val="20"/>
                        </w:rPr>
                      </w:pPr>
                      <w:r w:rsidRPr="008F0CA4">
                        <w:rPr>
                          <w:rFonts w:cs="Arial"/>
                          <w:b/>
                          <w:bCs/>
                          <w:i/>
                          <w:color w:val="002060"/>
                          <w:sz w:val="22"/>
                        </w:rPr>
                        <w:t xml:space="preserve">POLITIČKE STRANKE </w:t>
                      </w:r>
                      <w:r>
                        <w:rPr>
                          <w:rFonts w:cs="Arial"/>
                          <w:b/>
                          <w:bCs/>
                          <w:i/>
                          <w:color w:val="002060"/>
                          <w:sz w:val="22"/>
                        </w:rPr>
                        <w:t xml:space="preserve">KOD KOJIH JE DOŠLO DO STATUSNIH PROMJENA ILI </w:t>
                      </w:r>
                      <w:r w:rsidRPr="008F0CA4">
                        <w:rPr>
                          <w:rFonts w:cs="Arial"/>
                          <w:b/>
                          <w:bCs/>
                          <w:i/>
                          <w:color w:val="002060"/>
                          <w:sz w:val="22"/>
                        </w:rPr>
                        <w:t xml:space="preserve">SU </w:t>
                      </w:r>
                      <w:r>
                        <w:rPr>
                          <w:rFonts w:cs="Arial"/>
                          <w:b/>
                          <w:bCs/>
                          <w:i/>
                          <w:color w:val="002060"/>
                          <w:sz w:val="22"/>
                        </w:rPr>
                        <w:t xml:space="preserve">PRESTALE DJELOVATI </w:t>
                      </w:r>
                    </w:p>
                  </w:txbxContent>
                </v:textbox>
                <w10:wrap type="tight" anchorx="margin"/>
              </v:roundrect>
            </w:pict>
          </mc:Fallback>
        </mc:AlternateContent>
      </w:r>
    </w:p>
    <w:p w:rsidR="009309F1" w:rsidRDefault="009309F1" w:rsidP="00B32FB6">
      <w:pPr>
        <w:tabs>
          <w:tab w:val="left" w:pos="567"/>
        </w:tabs>
        <w:autoSpaceDE w:val="0"/>
        <w:autoSpaceDN w:val="0"/>
        <w:adjustRightInd w:val="0"/>
        <w:rPr>
          <w:rFonts w:cs="Arial"/>
          <w:bCs/>
          <w:color w:val="002060"/>
          <w:szCs w:val="24"/>
        </w:rPr>
      </w:pPr>
    </w:p>
    <w:p w:rsidR="009309F1" w:rsidRDefault="009309F1" w:rsidP="00B32FB6">
      <w:pPr>
        <w:tabs>
          <w:tab w:val="left" w:pos="567"/>
        </w:tabs>
        <w:autoSpaceDE w:val="0"/>
        <w:autoSpaceDN w:val="0"/>
        <w:adjustRightInd w:val="0"/>
        <w:rPr>
          <w:rFonts w:cs="Arial"/>
          <w:bCs/>
          <w:color w:val="002060"/>
          <w:szCs w:val="24"/>
        </w:rPr>
      </w:pPr>
    </w:p>
    <w:p w:rsidR="009309F1" w:rsidRDefault="009309F1" w:rsidP="00B32FB6">
      <w:pPr>
        <w:tabs>
          <w:tab w:val="left" w:pos="567"/>
        </w:tabs>
        <w:autoSpaceDE w:val="0"/>
        <w:autoSpaceDN w:val="0"/>
        <w:adjustRightInd w:val="0"/>
        <w:rPr>
          <w:rFonts w:cs="Arial"/>
          <w:bCs/>
          <w:color w:val="002060"/>
          <w:szCs w:val="24"/>
        </w:rPr>
      </w:pPr>
    </w:p>
    <w:p w:rsidR="009309F1" w:rsidRDefault="009309F1" w:rsidP="00B32FB6">
      <w:pPr>
        <w:tabs>
          <w:tab w:val="left" w:pos="567"/>
        </w:tabs>
        <w:autoSpaceDE w:val="0"/>
        <w:autoSpaceDN w:val="0"/>
        <w:adjustRightInd w:val="0"/>
        <w:rPr>
          <w:rFonts w:cs="Arial"/>
          <w:bCs/>
          <w:color w:val="002060"/>
          <w:szCs w:val="24"/>
        </w:rPr>
      </w:pPr>
    </w:p>
    <w:p w:rsidR="009309F1" w:rsidRDefault="009309F1" w:rsidP="009309F1">
      <w:pPr>
        <w:tabs>
          <w:tab w:val="left" w:pos="0"/>
          <w:tab w:val="left" w:pos="567"/>
        </w:tabs>
        <w:autoSpaceDE w:val="0"/>
        <w:autoSpaceDN w:val="0"/>
        <w:adjustRightInd w:val="0"/>
        <w:rPr>
          <w:color w:val="002060"/>
          <w:szCs w:val="24"/>
        </w:rPr>
      </w:pPr>
      <w:r>
        <w:rPr>
          <w:rFonts w:cs="Arial"/>
          <w:bCs/>
          <w:color w:val="002060"/>
          <w:szCs w:val="24"/>
        </w:rPr>
        <w:tab/>
      </w:r>
      <w:r w:rsidRPr="00745100">
        <w:rPr>
          <w:rFonts w:cs="Arial"/>
          <w:bCs/>
          <w:color w:val="002060"/>
          <w:szCs w:val="24"/>
        </w:rPr>
        <w:t xml:space="preserve">Prema odredbama </w:t>
      </w:r>
      <w:r w:rsidRPr="00745100">
        <w:rPr>
          <w:color w:val="002060"/>
          <w:szCs w:val="24"/>
        </w:rPr>
        <w:t xml:space="preserve">članka </w:t>
      </w:r>
      <w:r>
        <w:rPr>
          <w:color w:val="002060"/>
          <w:szCs w:val="24"/>
        </w:rPr>
        <w:t>52</w:t>
      </w:r>
      <w:r w:rsidRPr="00745100">
        <w:rPr>
          <w:color w:val="002060"/>
          <w:szCs w:val="24"/>
        </w:rPr>
        <w:t xml:space="preserve">. </w:t>
      </w:r>
      <w:r>
        <w:rPr>
          <w:color w:val="002060"/>
          <w:szCs w:val="24"/>
        </w:rPr>
        <w:t xml:space="preserve">stavaka 4., 5. i 6. Zakona o financiranju političkih aktivnosti, izborne promidžbe i referenduma, </w:t>
      </w:r>
      <w:r w:rsidRPr="00B744CF">
        <w:rPr>
          <w:b/>
          <w:color w:val="002060"/>
          <w:szCs w:val="24"/>
        </w:rPr>
        <w:t>u slučajevima prestanka političke stranke</w:t>
      </w:r>
      <w:r>
        <w:rPr>
          <w:color w:val="002060"/>
          <w:szCs w:val="24"/>
        </w:rPr>
        <w:t xml:space="preserve"> prema odredbama Zakona kojim se uređuje osnivanje političkih stranaka, ako je politička stranka brisana iz Registra političkih stranaka, dužna je sastaviti godišnji financijski izvještaj s datumom koji prethodi datumu brisanja </w:t>
      </w:r>
      <w:bookmarkStart w:id="0" w:name="_GoBack"/>
      <w:bookmarkEnd w:id="0"/>
      <w:r>
        <w:rPr>
          <w:color w:val="002060"/>
          <w:szCs w:val="24"/>
        </w:rPr>
        <w:t xml:space="preserve">iz Registra političkih stranaka i dostaviti ga Državnom uredu za reviziju i Državnom izbornom povjerenstvu, unosom u informacijski sustav za nadzor financiranja, najkasnije u roku od 60 dana od dana pravomoćnosti rješenja o brisanju iz Registra. </w:t>
      </w:r>
    </w:p>
    <w:p w:rsidR="009309F1" w:rsidRDefault="009309F1" w:rsidP="009309F1">
      <w:pPr>
        <w:tabs>
          <w:tab w:val="left" w:pos="0"/>
          <w:tab w:val="left" w:pos="567"/>
        </w:tabs>
        <w:autoSpaceDE w:val="0"/>
        <w:autoSpaceDN w:val="0"/>
        <w:adjustRightInd w:val="0"/>
        <w:rPr>
          <w:color w:val="002060"/>
          <w:szCs w:val="24"/>
          <w:highlight w:val="yellow"/>
        </w:rPr>
      </w:pPr>
      <w:r>
        <w:rPr>
          <w:color w:val="002060"/>
          <w:szCs w:val="24"/>
        </w:rPr>
        <w:tab/>
        <w:t xml:space="preserve">Kod </w:t>
      </w:r>
      <w:r w:rsidRPr="00B744CF">
        <w:rPr>
          <w:b/>
          <w:color w:val="002060"/>
          <w:szCs w:val="24"/>
        </w:rPr>
        <w:t>statusnih promjena političkih stranaka</w:t>
      </w:r>
      <w:r>
        <w:rPr>
          <w:color w:val="002060"/>
          <w:szCs w:val="24"/>
        </w:rPr>
        <w:t>, političke stranke kod kojih je došlo do statusnih promjena dužne su sastaviti godišnje financijske izvještaje s datumom koji prethodi datumu nastanka statusne promjene na način koji je prema propisima o računovodstvu neprofitnih organizacija propisan kod statusnih promjena neprofitnih organizacija i dostaviti ih Državnom uredu za reviziju i Državnom izbornom povjerenstvu, unosom u informacijski sustav za nadzor financiranja, najkasnije u roku od 60 dana od datuma nastanka statusne promjene. Navedene godišnje financijske izvještaje potpisuje osoba koja je bila odgovorna za poslovanje političke stranke do dana koji prethodi datumu brisanja iz Registra političkih stranaka odnosno datumu statusne promjene.</w:t>
      </w:r>
    </w:p>
    <w:p w:rsidR="009309F1" w:rsidRPr="008C737C" w:rsidRDefault="009309F1" w:rsidP="009309F1">
      <w:pPr>
        <w:pStyle w:val="Odlomakpopisa"/>
        <w:tabs>
          <w:tab w:val="left" w:pos="0"/>
        </w:tabs>
        <w:ind w:left="0" w:firstLine="567"/>
        <w:rPr>
          <w:color w:val="002060"/>
          <w:szCs w:val="24"/>
        </w:rPr>
      </w:pPr>
      <w:r w:rsidRPr="00B744CF">
        <w:rPr>
          <w:color w:val="002060"/>
          <w:szCs w:val="24"/>
        </w:rPr>
        <w:t>Također, prema mišljenju Ministarstva uprave, politička stranka dužna je dovršiti sve transakcije na žiro računu i isti zatvoriti do prestanka rada političke stranke prema odredbama Zakona o političkim strankama (Narodne novine 76/93, 111/96, 164</w:t>
      </w:r>
      <w:r w:rsidRPr="004815AC">
        <w:rPr>
          <w:color w:val="002060"/>
          <w:szCs w:val="24"/>
        </w:rPr>
        <w:t>/98, 36/01 i 28/06),</w:t>
      </w:r>
      <w:r w:rsidRPr="00B744CF">
        <w:rPr>
          <w:color w:val="002060"/>
          <w:szCs w:val="24"/>
        </w:rPr>
        <w:t xml:space="preserve"> odnosno do pravomoćnosti rješenja o brisanju iz Registra političkih stranaka.</w:t>
      </w:r>
    </w:p>
    <w:p w:rsidR="009309F1" w:rsidRDefault="009309F1" w:rsidP="00B32FB6">
      <w:pPr>
        <w:tabs>
          <w:tab w:val="left" w:pos="567"/>
        </w:tabs>
        <w:autoSpaceDE w:val="0"/>
        <w:autoSpaceDN w:val="0"/>
        <w:adjustRightInd w:val="0"/>
        <w:rPr>
          <w:rFonts w:cs="Arial"/>
          <w:bCs/>
          <w:color w:val="002060"/>
          <w:szCs w:val="24"/>
        </w:rPr>
      </w:pPr>
    </w:p>
    <w:p w:rsidR="004815AC" w:rsidRDefault="004815AC" w:rsidP="004815AC">
      <w:pPr>
        <w:tabs>
          <w:tab w:val="left" w:pos="567"/>
        </w:tabs>
        <w:autoSpaceDE w:val="0"/>
        <w:autoSpaceDN w:val="0"/>
        <w:adjustRightInd w:val="0"/>
        <w:ind w:left="567" w:hanging="567"/>
        <w:rPr>
          <w:rFonts w:cs="Arial"/>
          <w:b/>
          <w:bCs/>
          <w:i/>
          <w:color w:val="002060"/>
          <w:szCs w:val="24"/>
        </w:rPr>
      </w:pPr>
    </w:p>
    <w:p w:rsidR="004815AC" w:rsidRDefault="004815AC" w:rsidP="004815AC">
      <w:pPr>
        <w:tabs>
          <w:tab w:val="left" w:pos="567"/>
        </w:tabs>
        <w:autoSpaceDE w:val="0"/>
        <w:autoSpaceDN w:val="0"/>
        <w:adjustRightInd w:val="0"/>
        <w:ind w:left="567" w:hanging="567"/>
        <w:rPr>
          <w:rFonts w:cs="Arial"/>
          <w:b/>
          <w:bCs/>
          <w:i/>
          <w:color w:val="002060"/>
          <w:szCs w:val="24"/>
        </w:rPr>
      </w:pPr>
      <w:r>
        <w:rPr>
          <w:noProof/>
          <w:color w:val="002060"/>
          <w:lang w:eastAsia="hr-HR"/>
        </w:rPr>
        <mc:AlternateContent>
          <mc:Choice Requires="wps">
            <w:drawing>
              <wp:anchor distT="0" distB="0" distL="114300" distR="114300" simplePos="0" relativeHeight="251673600" behindDoc="1" locked="0" layoutInCell="1" allowOverlap="1" wp14:anchorId="798BAF35" wp14:editId="7ECD7D8F">
                <wp:simplePos x="0" y="0"/>
                <wp:positionH relativeFrom="margin">
                  <wp:align>left</wp:align>
                </wp:positionH>
                <wp:positionV relativeFrom="paragraph">
                  <wp:posOffset>13335</wp:posOffset>
                </wp:positionV>
                <wp:extent cx="5476875" cy="314325"/>
                <wp:effectExtent l="0" t="0" r="28575" b="28575"/>
                <wp:wrapTight wrapText="bothSides">
                  <wp:wrapPolygon edited="0">
                    <wp:start x="0" y="0"/>
                    <wp:lineTo x="0" y="22255"/>
                    <wp:lineTo x="21638" y="22255"/>
                    <wp:lineTo x="21638" y="0"/>
                    <wp:lineTo x="0" y="0"/>
                  </wp:wrapPolygon>
                </wp:wrapTight>
                <wp:docPr id="6" name="Zaobljeni pravokutnik 6"/>
                <wp:cNvGraphicFramePr/>
                <a:graphic xmlns:a="http://schemas.openxmlformats.org/drawingml/2006/main">
                  <a:graphicData uri="http://schemas.microsoft.com/office/word/2010/wordprocessingShape">
                    <wps:wsp>
                      <wps:cNvSpPr/>
                      <wps:spPr>
                        <a:xfrm>
                          <a:off x="0" y="0"/>
                          <a:ext cx="5476875" cy="314325"/>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4815AC" w:rsidRPr="00F53AA3" w:rsidRDefault="004815AC" w:rsidP="004815AC">
                            <w:pPr>
                              <w:autoSpaceDE w:val="0"/>
                              <w:autoSpaceDN w:val="0"/>
                              <w:adjustRightInd w:val="0"/>
                              <w:jc w:val="left"/>
                              <w:rPr>
                                <w:rFonts w:cs="Arial"/>
                                <w:b/>
                                <w:bCs/>
                                <w:i/>
                                <w:color w:val="002060"/>
                                <w:sz w:val="22"/>
                              </w:rPr>
                            </w:pPr>
                            <w:r w:rsidRPr="00F53AA3">
                              <w:rPr>
                                <w:rFonts w:cs="Arial"/>
                                <w:b/>
                                <w:bCs/>
                                <w:i/>
                                <w:color w:val="002060"/>
                                <w:sz w:val="22"/>
                              </w:rPr>
                              <w:t xml:space="preserve">PRESTANAK MANDATA NEZAVISNIH ZASTUPNIKA I </w:t>
                            </w:r>
                            <w:r>
                              <w:rPr>
                                <w:rFonts w:cs="Arial"/>
                                <w:b/>
                                <w:bCs/>
                                <w:i/>
                                <w:color w:val="002060"/>
                                <w:sz w:val="22"/>
                              </w:rPr>
                              <w:t>NEZAVISNIH VIJEĆNIKA</w:t>
                            </w:r>
                            <w:r w:rsidRPr="00F53AA3">
                              <w:rPr>
                                <w:rFonts w:cs="Arial"/>
                                <w:b/>
                                <w:bCs/>
                                <w:i/>
                                <w:color w:val="002060"/>
                                <w:sz w:val="22"/>
                              </w:rPr>
                              <w:t xml:space="preserve"> </w:t>
                            </w:r>
                          </w:p>
                          <w:p w:rsidR="004815AC" w:rsidRPr="00FA3102" w:rsidRDefault="004815AC" w:rsidP="004815A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BAF35" id="Zaobljeni pravokutnik 6" o:spid="_x0000_s1030" style="position:absolute;left:0;text-align:left;margin-left:0;margin-top:1.05pt;width:431.25pt;height:24.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" fillcolor="white [3201]" strokecolor="#002060" strokeweight="2pt">
                <v:textbox>
                  <w:txbxContent>
                    <w:p w:rsidR="004815AC" w:rsidRPr="00F53AA3" w:rsidRDefault="004815AC" w:rsidP="004815AC">
                      <w:pPr>
                        <w:autoSpaceDE w:val="0"/>
                        <w:autoSpaceDN w:val="0"/>
                        <w:adjustRightInd w:val="0"/>
                        <w:jc w:val="left"/>
                        <w:rPr>
                          <w:rFonts w:cs="Arial"/>
                          <w:b/>
                          <w:bCs/>
                          <w:i/>
                          <w:color w:val="002060"/>
                          <w:sz w:val="22"/>
                        </w:rPr>
                      </w:pPr>
                      <w:r w:rsidRPr="00F53AA3">
                        <w:rPr>
                          <w:rFonts w:cs="Arial"/>
                          <w:b/>
                          <w:bCs/>
                          <w:i/>
                          <w:color w:val="002060"/>
                          <w:sz w:val="22"/>
                        </w:rPr>
                        <w:t xml:space="preserve">PRESTANAK MANDATA NEZAVISNIH ZASTUPNIKA I </w:t>
                      </w:r>
                      <w:r>
                        <w:rPr>
                          <w:rFonts w:cs="Arial"/>
                          <w:b/>
                          <w:bCs/>
                          <w:i/>
                          <w:color w:val="002060"/>
                          <w:sz w:val="22"/>
                        </w:rPr>
                        <w:t>NEZAVISNIH VIJEĆNIKA</w:t>
                      </w:r>
                      <w:r w:rsidRPr="00F53AA3">
                        <w:rPr>
                          <w:rFonts w:cs="Arial"/>
                          <w:b/>
                          <w:bCs/>
                          <w:i/>
                          <w:color w:val="002060"/>
                          <w:sz w:val="22"/>
                        </w:rPr>
                        <w:t xml:space="preserve"> </w:t>
                      </w:r>
                    </w:p>
                    <w:p w:rsidR="004815AC" w:rsidRPr="00FA3102" w:rsidRDefault="004815AC" w:rsidP="004815AC">
                      <w:pPr>
                        <w:jc w:val="center"/>
                        <w:rPr>
                          <w:sz w:val="20"/>
                          <w:szCs w:val="20"/>
                        </w:rPr>
                      </w:pPr>
                    </w:p>
                  </w:txbxContent>
                </v:textbox>
                <w10:wrap type="tight" anchorx="margin"/>
              </v:roundrect>
            </w:pict>
          </mc:Fallback>
        </mc:AlternateContent>
      </w:r>
    </w:p>
    <w:p w:rsidR="004815AC" w:rsidRDefault="004815AC" w:rsidP="004815AC">
      <w:pPr>
        <w:tabs>
          <w:tab w:val="left" w:pos="567"/>
        </w:tabs>
        <w:autoSpaceDE w:val="0"/>
        <w:autoSpaceDN w:val="0"/>
        <w:adjustRightInd w:val="0"/>
        <w:ind w:left="567" w:hanging="567"/>
        <w:rPr>
          <w:rFonts w:cs="Arial"/>
          <w:b/>
          <w:bCs/>
          <w:i/>
          <w:color w:val="002060"/>
          <w:szCs w:val="24"/>
        </w:rPr>
      </w:pPr>
    </w:p>
    <w:p w:rsidR="004815AC" w:rsidRPr="003E62E8" w:rsidRDefault="004815AC" w:rsidP="004815AC">
      <w:pPr>
        <w:tabs>
          <w:tab w:val="left" w:pos="567"/>
        </w:tabs>
        <w:autoSpaceDE w:val="0"/>
        <w:autoSpaceDN w:val="0"/>
        <w:adjustRightInd w:val="0"/>
        <w:ind w:left="567" w:hanging="567"/>
        <w:rPr>
          <w:rFonts w:cs="Arial"/>
          <w:bCs/>
          <w:color w:val="002060"/>
          <w:szCs w:val="24"/>
        </w:rPr>
      </w:pPr>
    </w:p>
    <w:p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Prema odredbama članaka 16. i 17., te 52. Zakona o financiranju političkih aktivnosti, izborne promidžbe i referenduma, nezavisni zastupnici i nezavisni vijećnici </w:t>
      </w:r>
      <w:r w:rsidRPr="005B05D2">
        <w:rPr>
          <w:rFonts w:cs="Arial"/>
          <w:b/>
          <w:bCs/>
          <w:color w:val="002060"/>
          <w:szCs w:val="24"/>
        </w:rPr>
        <w:t>koji nakon isteka mandata nisu ponovo izabrani</w:t>
      </w:r>
      <w:r>
        <w:rPr>
          <w:rFonts w:cs="Arial"/>
          <w:bCs/>
          <w:color w:val="002060"/>
          <w:szCs w:val="24"/>
        </w:rPr>
        <w:t xml:space="preserve"> za nezavisnog zastupnika odnosno nezavisnog vijećnika </w:t>
      </w:r>
      <w:r w:rsidRPr="005B05D2">
        <w:rPr>
          <w:rFonts w:cs="Arial"/>
          <w:b/>
          <w:bCs/>
          <w:color w:val="002060"/>
          <w:szCs w:val="24"/>
        </w:rPr>
        <w:t>ili im mandat prestane prije isteka vremena na koje su izabrani</w:t>
      </w:r>
      <w:r>
        <w:rPr>
          <w:rFonts w:cs="Arial"/>
          <w:bCs/>
          <w:color w:val="002060"/>
          <w:szCs w:val="24"/>
        </w:rPr>
        <w:t xml:space="preserve"> dužni su:</w:t>
      </w:r>
    </w:p>
    <w:p w:rsidR="004815AC" w:rsidRDefault="004815AC" w:rsidP="004815AC">
      <w:pPr>
        <w:pStyle w:val="Odlomakpopisa"/>
        <w:numPr>
          <w:ilvl w:val="0"/>
          <w:numId w:val="18"/>
        </w:numPr>
        <w:tabs>
          <w:tab w:val="left" w:pos="567"/>
        </w:tabs>
        <w:autoSpaceDE w:val="0"/>
        <w:autoSpaceDN w:val="0"/>
        <w:adjustRightInd w:val="0"/>
        <w:rPr>
          <w:rFonts w:cs="Arial"/>
          <w:bCs/>
          <w:color w:val="002060"/>
          <w:szCs w:val="24"/>
        </w:rPr>
      </w:pPr>
      <w:r>
        <w:rPr>
          <w:rFonts w:cs="Arial"/>
          <w:b/>
          <w:bCs/>
          <w:color w:val="002060"/>
          <w:szCs w:val="24"/>
        </w:rPr>
        <w:t>U</w:t>
      </w:r>
      <w:r w:rsidRPr="005B05D2">
        <w:rPr>
          <w:rFonts w:cs="Arial"/>
          <w:b/>
          <w:bCs/>
          <w:color w:val="002060"/>
          <w:szCs w:val="24"/>
        </w:rPr>
        <w:t xml:space="preserve"> roku od 90 dana</w:t>
      </w:r>
      <w:r>
        <w:rPr>
          <w:rFonts w:cs="Arial"/>
          <w:bCs/>
          <w:color w:val="002060"/>
          <w:szCs w:val="24"/>
        </w:rPr>
        <w:t xml:space="preserve"> </w:t>
      </w:r>
      <w:r w:rsidRPr="005B05D2">
        <w:rPr>
          <w:rFonts w:cs="Arial"/>
          <w:b/>
          <w:bCs/>
          <w:color w:val="002060"/>
          <w:szCs w:val="24"/>
        </w:rPr>
        <w:t>od dana konstituiranja novog saziva Hrvatskoga sabora odnosno predstavničkog tijela jedinice samouprave odnosno prestanka mandata prije isteka vremena na koje su izabrani</w:t>
      </w:r>
      <w:r>
        <w:rPr>
          <w:rFonts w:cs="Arial"/>
          <w:bCs/>
          <w:color w:val="002060"/>
          <w:szCs w:val="24"/>
        </w:rPr>
        <w:t xml:space="preserve"> </w:t>
      </w:r>
      <w:r w:rsidRPr="005B05D2">
        <w:rPr>
          <w:rFonts w:cs="Arial"/>
          <w:bCs/>
          <w:color w:val="002060"/>
          <w:szCs w:val="24"/>
        </w:rPr>
        <w:t>zatvoriti poseban račun za redovito financiranje svoje djelatnosti</w:t>
      </w:r>
      <w:r>
        <w:rPr>
          <w:rFonts w:cs="Arial"/>
          <w:bCs/>
          <w:color w:val="002060"/>
          <w:szCs w:val="24"/>
        </w:rPr>
        <w:t>.</w:t>
      </w:r>
    </w:p>
    <w:p w:rsidR="004815AC" w:rsidRDefault="004815AC" w:rsidP="004815AC">
      <w:pPr>
        <w:pStyle w:val="Odlomakpopisa"/>
        <w:numPr>
          <w:ilvl w:val="0"/>
          <w:numId w:val="19"/>
        </w:numPr>
        <w:tabs>
          <w:tab w:val="left" w:pos="567"/>
        </w:tabs>
        <w:autoSpaceDE w:val="0"/>
        <w:autoSpaceDN w:val="0"/>
        <w:adjustRightInd w:val="0"/>
        <w:rPr>
          <w:rFonts w:cs="Arial"/>
          <w:bCs/>
          <w:color w:val="002060"/>
          <w:szCs w:val="24"/>
        </w:rPr>
      </w:pPr>
      <w:r>
        <w:rPr>
          <w:rFonts w:cs="Arial"/>
          <w:b/>
          <w:bCs/>
          <w:color w:val="002060"/>
          <w:szCs w:val="24"/>
        </w:rPr>
        <w:t xml:space="preserve">U istom roku </w:t>
      </w:r>
      <w:r w:rsidRPr="00A85952">
        <w:rPr>
          <w:rFonts w:cs="Arial"/>
          <w:b/>
          <w:bCs/>
          <w:color w:val="002060"/>
          <w:szCs w:val="24"/>
        </w:rPr>
        <w:t>neutrošena financijska sredstva dobivena iz državnog proračuna odnosno proračuna jedinice samouprave</w:t>
      </w:r>
      <w:r>
        <w:rPr>
          <w:rFonts w:cs="Arial"/>
          <w:bCs/>
          <w:color w:val="002060"/>
          <w:szCs w:val="24"/>
        </w:rPr>
        <w:t xml:space="preserve"> za redovito godišnje financiranje njihove djelatnosti, kao i novčani iznos knjigovodstvene vrijednosti imovine</w:t>
      </w:r>
      <w:r>
        <w:rPr>
          <w:rStyle w:val="Referencafusnote"/>
          <w:rFonts w:cs="Arial"/>
          <w:bCs/>
          <w:color w:val="002060"/>
          <w:szCs w:val="24"/>
        </w:rPr>
        <w:footnoteReference w:id="4"/>
      </w:r>
      <w:r>
        <w:rPr>
          <w:rFonts w:cs="Arial"/>
          <w:bCs/>
          <w:color w:val="002060"/>
          <w:szCs w:val="24"/>
        </w:rPr>
        <w:t xml:space="preserve"> nabavljene sredstvima dobivenim iz državnog proračuna odnosno proračuna jedinice samouprave za redovito godišnje financiranje njihove djelatnosti, vratiti u državni proračun odnosno proračun jedinice samouprave (iznimno, mogu imovinu nabavljenu sredstvima dobivenim iz državnog proračuna odnosno proračuna jedinice samouprave za redovito godišnje financiranje njihove </w:t>
      </w:r>
      <w:r>
        <w:rPr>
          <w:rFonts w:cs="Arial"/>
          <w:bCs/>
          <w:color w:val="002060"/>
          <w:szCs w:val="24"/>
        </w:rPr>
        <w:lastRenderedPageBreak/>
        <w:t>djelatnosti vratiti na raspolaganje Vladi Republike Hrvatske odnosno jedinici samouprave).</w:t>
      </w:r>
    </w:p>
    <w:p w:rsidR="004815AC" w:rsidRDefault="004815AC" w:rsidP="004815AC">
      <w:pPr>
        <w:pStyle w:val="Odlomakpopisa"/>
        <w:tabs>
          <w:tab w:val="left" w:pos="567"/>
        </w:tabs>
        <w:autoSpaceDE w:val="0"/>
        <w:autoSpaceDN w:val="0"/>
        <w:adjustRightInd w:val="0"/>
        <w:ind w:left="927"/>
        <w:rPr>
          <w:rFonts w:cs="Arial"/>
          <w:bCs/>
          <w:color w:val="002060"/>
          <w:szCs w:val="24"/>
        </w:rPr>
      </w:pPr>
      <w:r>
        <w:rPr>
          <w:rFonts w:cs="Arial"/>
          <w:b/>
          <w:bCs/>
          <w:color w:val="002060"/>
          <w:szCs w:val="24"/>
        </w:rPr>
        <w:t xml:space="preserve">U istom roku </w:t>
      </w:r>
      <w:r w:rsidRPr="00A85952">
        <w:rPr>
          <w:rFonts w:cs="Arial"/>
          <w:b/>
          <w:bCs/>
          <w:color w:val="002060"/>
          <w:szCs w:val="24"/>
        </w:rPr>
        <w:t>neutrošena financijska sredstva dobivena iz donacije</w:t>
      </w:r>
      <w:r>
        <w:rPr>
          <w:rFonts w:cs="Arial"/>
          <w:bCs/>
          <w:color w:val="002060"/>
          <w:szCs w:val="24"/>
        </w:rPr>
        <w:t>, vratiti donatorima razmjerno doniranim iznosila ili donirati za opće društvene potrebe.</w:t>
      </w:r>
      <w:r>
        <w:rPr>
          <w:rStyle w:val="Referencafusnote"/>
          <w:rFonts w:cs="Arial"/>
          <w:bCs/>
          <w:color w:val="002060"/>
          <w:szCs w:val="24"/>
        </w:rPr>
        <w:footnoteReference w:id="5"/>
      </w:r>
      <w:r>
        <w:rPr>
          <w:rFonts w:cs="Arial"/>
          <w:bCs/>
          <w:color w:val="002060"/>
          <w:szCs w:val="24"/>
        </w:rPr>
        <w:t xml:space="preserve"> </w:t>
      </w:r>
    </w:p>
    <w:p w:rsidR="004815AC" w:rsidRDefault="004815AC" w:rsidP="004815AC">
      <w:pPr>
        <w:pStyle w:val="Odlomakpopisa"/>
        <w:tabs>
          <w:tab w:val="left" w:pos="567"/>
        </w:tabs>
        <w:autoSpaceDE w:val="0"/>
        <w:autoSpaceDN w:val="0"/>
        <w:adjustRightInd w:val="0"/>
        <w:ind w:left="927"/>
        <w:rPr>
          <w:rFonts w:cs="Arial"/>
          <w:bCs/>
          <w:color w:val="002060"/>
          <w:szCs w:val="24"/>
        </w:rPr>
      </w:pPr>
      <w:r w:rsidRPr="00A85952">
        <w:rPr>
          <w:rFonts w:cs="Arial"/>
          <w:bCs/>
          <w:color w:val="002060"/>
          <w:szCs w:val="24"/>
        </w:rPr>
        <w:t xml:space="preserve">Udio sredstava za financiranje redovite političke djelatnosti primljenih iz proračuna odnosno dobivenih iz donacija u preostalim neutrošenim financijskim sredstvima određuje se razmjerno uplaćenom iznosu. </w:t>
      </w:r>
    </w:p>
    <w:p w:rsidR="004815AC" w:rsidRDefault="004815AC" w:rsidP="004815AC">
      <w:pPr>
        <w:pStyle w:val="Odlomakpopisa"/>
        <w:numPr>
          <w:ilvl w:val="0"/>
          <w:numId w:val="20"/>
        </w:numPr>
        <w:tabs>
          <w:tab w:val="left" w:pos="567"/>
        </w:tabs>
        <w:autoSpaceDE w:val="0"/>
        <w:autoSpaceDN w:val="0"/>
        <w:adjustRightInd w:val="0"/>
        <w:rPr>
          <w:rFonts w:cs="Arial"/>
          <w:bCs/>
          <w:color w:val="002060"/>
          <w:szCs w:val="24"/>
        </w:rPr>
      </w:pPr>
      <w:r>
        <w:rPr>
          <w:rFonts w:cs="Arial"/>
          <w:b/>
          <w:bCs/>
          <w:color w:val="002060"/>
          <w:szCs w:val="24"/>
        </w:rPr>
        <w:t>U</w:t>
      </w:r>
      <w:r w:rsidRPr="00A85952">
        <w:rPr>
          <w:rFonts w:cs="Arial"/>
          <w:b/>
          <w:bCs/>
          <w:color w:val="002060"/>
          <w:szCs w:val="24"/>
        </w:rPr>
        <w:t xml:space="preserve"> roku osam dana od dana zatvaranja posebnog računa za redovito godišnje financiranje</w:t>
      </w:r>
      <w:r w:rsidRPr="00A85952">
        <w:rPr>
          <w:rFonts w:cs="Arial"/>
          <w:bCs/>
          <w:color w:val="002060"/>
          <w:szCs w:val="24"/>
        </w:rPr>
        <w:t xml:space="preserve"> dostaviti Državnom izbornom povjerenstvu i Državnom uredu za reviziju potvrdu banke o zatvaranju računa (u istom roku podatke o zatvaranju posebnog računa unijeti u informacijski sustav za nadzor financiranja).</w:t>
      </w:r>
    </w:p>
    <w:p w:rsidR="004815AC" w:rsidRPr="00A85952" w:rsidRDefault="004815AC" w:rsidP="004815AC">
      <w:pPr>
        <w:pStyle w:val="Odlomakpopisa"/>
        <w:numPr>
          <w:ilvl w:val="0"/>
          <w:numId w:val="20"/>
        </w:numPr>
        <w:tabs>
          <w:tab w:val="left" w:pos="567"/>
        </w:tabs>
        <w:autoSpaceDE w:val="0"/>
        <w:autoSpaceDN w:val="0"/>
        <w:adjustRightInd w:val="0"/>
        <w:rPr>
          <w:rFonts w:cs="Arial"/>
          <w:bCs/>
          <w:color w:val="002060"/>
          <w:szCs w:val="24"/>
        </w:rPr>
      </w:pPr>
      <w:r>
        <w:rPr>
          <w:rFonts w:cs="Arial"/>
          <w:b/>
          <w:bCs/>
          <w:color w:val="002060"/>
          <w:szCs w:val="24"/>
        </w:rPr>
        <w:t>S</w:t>
      </w:r>
      <w:r w:rsidRPr="00A85952">
        <w:rPr>
          <w:rFonts w:cs="Arial"/>
          <w:b/>
          <w:bCs/>
          <w:color w:val="002060"/>
          <w:szCs w:val="24"/>
        </w:rPr>
        <w:t>astaviti</w:t>
      </w:r>
      <w:r>
        <w:rPr>
          <w:rFonts w:cs="Arial"/>
          <w:b/>
          <w:bCs/>
          <w:color w:val="002060"/>
          <w:szCs w:val="24"/>
        </w:rPr>
        <w:t xml:space="preserve"> </w:t>
      </w:r>
      <w:r w:rsidRPr="00A85952">
        <w:rPr>
          <w:rFonts w:cs="Arial"/>
          <w:b/>
          <w:bCs/>
          <w:color w:val="002060"/>
          <w:szCs w:val="24"/>
        </w:rPr>
        <w:t>godišnji financijski izvještaj s datumom koji prethodi datumu zatvaranja posebnog računa za redovito financiranje svoje djelatnosti</w:t>
      </w:r>
      <w:r w:rsidRPr="00A85952">
        <w:rPr>
          <w:rFonts w:cs="Arial"/>
          <w:bCs/>
          <w:color w:val="002060"/>
          <w:szCs w:val="24"/>
        </w:rPr>
        <w:t xml:space="preserve"> i dostaviti ga Državnom izbornom povjerenstvu i Državnom uredu za reviziju, unosom u informacijski sustav za nadzor financiranja, najkasnije u roku od 30 dana od dana zatvaranja posebnog računa za redovito financiranje svoje djelatnosti.</w:t>
      </w:r>
    </w:p>
    <w:p w:rsidR="004815AC" w:rsidRDefault="004815AC" w:rsidP="004815AC">
      <w:pPr>
        <w:tabs>
          <w:tab w:val="left" w:pos="567"/>
        </w:tabs>
        <w:autoSpaceDE w:val="0"/>
        <w:autoSpaceDN w:val="0"/>
        <w:adjustRightInd w:val="0"/>
        <w:rPr>
          <w:rFonts w:cs="Arial"/>
          <w:bCs/>
          <w:color w:val="002060"/>
          <w:szCs w:val="24"/>
        </w:rPr>
      </w:pPr>
    </w:p>
    <w:p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Ako nezavisnom zastupniku odnosno nezavisnom vijećniku </w:t>
      </w:r>
      <w:r w:rsidRPr="00142B68">
        <w:rPr>
          <w:rFonts w:cs="Arial"/>
          <w:b/>
          <w:bCs/>
          <w:color w:val="002060"/>
          <w:szCs w:val="24"/>
        </w:rPr>
        <w:t>mandat prestane prije isteka vremena na koje je izabran zbog smrti</w:t>
      </w:r>
      <w:r>
        <w:rPr>
          <w:rFonts w:cs="Arial"/>
          <w:bCs/>
          <w:color w:val="002060"/>
          <w:szCs w:val="24"/>
        </w:rPr>
        <w:t xml:space="preserve">, sva preostala sredstva na posebnom računu za redovito godišnje financiranje uplaćuju se u državni proračun odnosno u proračun jedinice samouprave, a imovina nabavljena sredstvima s tog računa stavlja se na raspolaganje Vladi Republike Hrvatske odnosno jedinici samouprave. </w:t>
      </w:r>
    </w:p>
    <w:p w:rsidR="004815AC" w:rsidRDefault="004815AC" w:rsidP="004815AC">
      <w:pPr>
        <w:tabs>
          <w:tab w:val="left" w:pos="567"/>
        </w:tabs>
        <w:autoSpaceDE w:val="0"/>
        <w:autoSpaceDN w:val="0"/>
        <w:adjustRightInd w:val="0"/>
        <w:rPr>
          <w:rFonts w:cs="Arial"/>
          <w:bCs/>
          <w:color w:val="002060"/>
          <w:szCs w:val="24"/>
        </w:rPr>
      </w:pPr>
    </w:p>
    <w:p w:rsidR="004815AC" w:rsidRDefault="004815AC" w:rsidP="004815AC">
      <w:pPr>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75648" behindDoc="1" locked="0" layoutInCell="1" allowOverlap="1" wp14:anchorId="2487D2B8" wp14:editId="09ABA66D">
                <wp:simplePos x="0" y="0"/>
                <wp:positionH relativeFrom="margin">
                  <wp:align>left</wp:align>
                </wp:positionH>
                <wp:positionV relativeFrom="paragraph">
                  <wp:posOffset>178435</wp:posOffset>
                </wp:positionV>
                <wp:extent cx="5400675" cy="285750"/>
                <wp:effectExtent l="0" t="0" r="28575" b="19050"/>
                <wp:wrapTight wrapText="bothSides">
                  <wp:wrapPolygon edited="0">
                    <wp:start x="0" y="0"/>
                    <wp:lineTo x="0" y="21600"/>
                    <wp:lineTo x="21638" y="21600"/>
                    <wp:lineTo x="21638" y="0"/>
                    <wp:lineTo x="0" y="0"/>
                  </wp:wrapPolygon>
                </wp:wrapTight>
                <wp:docPr id="9" name="Zaobljeni pravokutnik 9"/>
                <wp:cNvGraphicFramePr/>
                <a:graphic xmlns:a="http://schemas.openxmlformats.org/drawingml/2006/main">
                  <a:graphicData uri="http://schemas.microsoft.com/office/word/2010/wordprocessingShape">
                    <wps:wsp>
                      <wps:cNvSpPr/>
                      <wps:spPr>
                        <a:xfrm>
                          <a:off x="0" y="0"/>
                          <a:ext cx="5400675" cy="285750"/>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4815AC" w:rsidRPr="00F53AA3" w:rsidRDefault="004815AC" w:rsidP="004815AC">
                            <w:pPr>
                              <w:tabs>
                                <w:tab w:val="left" w:pos="142"/>
                              </w:tabs>
                              <w:jc w:val="left"/>
                              <w:rPr>
                                <w:sz w:val="22"/>
                              </w:rPr>
                            </w:pPr>
                            <w:r>
                              <w:rPr>
                                <w:rFonts w:cs="Arial"/>
                                <w:b/>
                                <w:bCs/>
                                <w:i/>
                                <w:color w:val="002060"/>
                                <w:sz w:val="22"/>
                              </w:rPr>
                              <w:t>MIROVANJE MANDATA NEZAVISNIH ZASTUPNIKA I NEZAVISNIH VIJEĆNIKA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7D2B8" id="Zaobljeni pravokutnik 9" o:spid="_x0000_s1031" style="position:absolute;left:0;text-align:left;margin-left:0;margin-top:14.05pt;width:425.25pt;height:22.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" fillcolor="white [3201]" strokecolor="#002060" strokeweight="2pt">
                <v:textbox>
                  <w:txbxContent>
                    <w:p w:rsidR="004815AC" w:rsidRPr="00F53AA3" w:rsidRDefault="004815AC" w:rsidP="004815AC">
                      <w:pPr>
                        <w:tabs>
                          <w:tab w:val="left" w:pos="142"/>
                        </w:tabs>
                        <w:jc w:val="left"/>
                        <w:rPr>
                          <w:sz w:val="22"/>
                        </w:rPr>
                      </w:pPr>
                      <w:r>
                        <w:rPr>
                          <w:rFonts w:cs="Arial"/>
                          <w:b/>
                          <w:bCs/>
                          <w:i/>
                          <w:color w:val="002060"/>
                          <w:sz w:val="22"/>
                        </w:rPr>
                        <w:t>MIROVANJE MANDATA NEZAVISNIH ZASTUPNIKA I NEZAVISNIH VIJEĆNIKA</w:t>
                      </w:r>
                    </w:p>
                  </w:txbxContent>
                </v:textbox>
                <w10:wrap type="tight" anchorx="margin"/>
              </v:roundrect>
            </w:pict>
          </mc:Fallback>
        </mc:AlternateContent>
      </w:r>
    </w:p>
    <w:p w:rsidR="004815AC" w:rsidRDefault="004815AC" w:rsidP="004815AC">
      <w:pPr>
        <w:autoSpaceDE w:val="0"/>
        <w:autoSpaceDN w:val="0"/>
        <w:adjustRightInd w:val="0"/>
        <w:rPr>
          <w:rFonts w:cs="Arial"/>
          <w:bCs/>
          <w:color w:val="002060"/>
          <w:szCs w:val="24"/>
        </w:rPr>
      </w:pPr>
    </w:p>
    <w:p w:rsidR="004815AC" w:rsidRDefault="004815AC" w:rsidP="004815AC">
      <w:pPr>
        <w:autoSpaceDE w:val="0"/>
        <w:autoSpaceDN w:val="0"/>
        <w:adjustRightInd w:val="0"/>
        <w:rPr>
          <w:rFonts w:cs="Arial"/>
          <w:bCs/>
          <w:color w:val="002060"/>
          <w:szCs w:val="24"/>
        </w:rPr>
      </w:pPr>
    </w:p>
    <w:p w:rsidR="004815AC" w:rsidRDefault="004815AC" w:rsidP="004815AC">
      <w:pPr>
        <w:autoSpaceDE w:val="0"/>
        <w:autoSpaceDN w:val="0"/>
        <w:adjustRightInd w:val="0"/>
        <w:rPr>
          <w:rFonts w:cs="Arial"/>
          <w:bCs/>
          <w:color w:val="002060"/>
          <w:szCs w:val="24"/>
        </w:rPr>
      </w:pPr>
    </w:p>
    <w:p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Prema odredbama članaka 16. i 17. Zakona o financiranju političkih aktivnosti, izborne promidžbe i referenduma, nezavisni zastupnici i nezavisni vijećnici </w:t>
      </w:r>
      <w:r w:rsidRPr="00DD6AD6">
        <w:rPr>
          <w:rFonts w:cs="Arial"/>
          <w:b/>
          <w:bCs/>
          <w:color w:val="002060"/>
          <w:szCs w:val="24"/>
        </w:rPr>
        <w:t xml:space="preserve">nisu dužni zatvoriti poseban račun za redovito financiranje svoje djelatnosti </w:t>
      </w:r>
      <w:r w:rsidRPr="00DD6AD6">
        <w:rPr>
          <w:rFonts w:cs="Arial"/>
          <w:bCs/>
          <w:color w:val="002060"/>
          <w:szCs w:val="24"/>
        </w:rPr>
        <w:t>u slučaju mirovanja mandata</w:t>
      </w:r>
      <w:r>
        <w:rPr>
          <w:rFonts w:cs="Arial"/>
          <w:bCs/>
          <w:color w:val="002060"/>
          <w:szCs w:val="24"/>
        </w:rPr>
        <w:t xml:space="preserve">, </w:t>
      </w:r>
      <w:r w:rsidRPr="00DD6AD6">
        <w:rPr>
          <w:rFonts w:cs="Arial"/>
          <w:b/>
          <w:bCs/>
          <w:color w:val="002060"/>
          <w:szCs w:val="24"/>
        </w:rPr>
        <w:t>a u slučaju zatvaranja posebnog računa</w:t>
      </w:r>
      <w:r>
        <w:rPr>
          <w:rFonts w:cs="Arial"/>
          <w:bCs/>
          <w:color w:val="002060"/>
          <w:szCs w:val="24"/>
        </w:rPr>
        <w:t xml:space="preserve"> za vrijeme mirovanja mandata, </w:t>
      </w:r>
      <w:r w:rsidRPr="00DD6AD6">
        <w:rPr>
          <w:rFonts w:cs="Arial"/>
          <w:b/>
          <w:bCs/>
          <w:color w:val="002060"/>
          <w:szCs w:val="24"/>
        </w:rPr>
        <w:t>dužni su</w:t>
      </w:r>
      <w:r>
        <w:rPr>
          <w:rFonts w:cs="Arial"/>
          <w:bCs/>
          <w:color w:val="002060"/>
          <w:szCs w:val="24"/>
        </w:rPr>
        <w:t xml:space="preserve"> preostala sredstva na posebnom računu odnosno vrijednost imovine ili imovinu nabavljenu iz tih sredstava rasporediti na isti način kao i nezavisni zastupnici i nezavisni vijećnici </w:t>
      </w:r>
      <w:r w:rsidRPr="000C0CF5">
        <w:rPr>
          <w:rFonts w:cs="Arial"/>
          <w:bCs/>
          <w:color w:val="002060"/>
          <w:szCs w:val="24"/>
        </w:rPr>
        <w:t>koji nakon isteka mandata nisu ponovo izabrani za nezavisnog zastupnika odnosno nezavisnog vijećnika ili im mandat prestane prije isteka vremena na koje su izabrani</w:t>
      </w:r>
      <w:r>
        <w:rPr>
          <w:rFonts w:cs="Arial"/>
          <w:bCs/>
          <w:color w:val="002060"/>
          <w:szCs w:val="24"/>
        </w:rPr>
        <w:t xml:space="preserve">. </w:t>
      </w:r>
    </w:p>
    <w:p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Ako nezavisni zastupnici i nezavisni vijećnici za vrijeme mirovanja mandata nisu zatvorili poseban račun za redovito financiranje svoje djelatnosti, ne smiju za vrijeme mirovanja mandata koristiti sredstva s tog računa.</w:t>
      </w:r>
    </w:p>
    <w:p w:rsidR="00200F36" w:rsidRDefault="004815AC" w:rsidP="004815AC">
      <w:pPr>
        <w:autoSpaceDE w:val="0"/>
        <w:autoSpaceDN w:val="0"/>
        <w:adjustRightInd w:val="0"/>
        <w:ind w:firstLine="567"/>
        <w:rPr>
          <w:rFonts w:cs="Arial"/>
          <w:bCs/>
          <w:color w:val="002060"/>
          <w:szCs w:val="24"/>
        </w:rPr>
      </w:pPr>
      <w:r>
        <w:rPr>
          <w:rFonts w:cs="Arial"/>
          <w:bCs/>
          <w:color w:val="002060"/>
          <w:szCs w:val="24"/>
        </w:rPr>
        <w:t>Obveza sastavljanja i dostavljanja godišnjeg financijskog izvještaja iz članka 52. stavka 7. Zakona o financiranju političkih aktivnosti, izborne promidžbe i referenduma, odnosi se i na nezavisne zastupnike i nezavisne vijećnike koji su zatvorili poseban račun u slučaju mirovanja mandata.</w:t>
      </w:r>
    </w:p>
    <w:p w:rsidR="00200F36" w:rsidRDefault="00200F36" w:rsidP="004815AC">
      <w:pPr>
        <w:autoSpaceDE w:val="0"/>
        <w:autoSpaceDN w:val="0"/>
        <w:adjustRightInd w:val="0"/>
        <w:ind w:firstLine="567"/>
        <w:rPr>
          <w:rFonts w:cs="Arial"/>
          <w:bCs/>
          <w:color w:val="002060"/>
          <w:szCs w:val="24"/>
        </w:rPr>
      </w:pPr>
    </w:p>
    <w:p w:rsidR="0091219F" w:rsidRDefault="0091219F" w:rsidP="004815AC">
      <w:pPr>
        <w:autoSpaceDE w:val="0"/>
        <w:autoSpaceDN w:val="0"/>
        <w:adjustRightInd w:val="0"/>
        <w:ind w:firstLine="567"/>
        <w:rPr>
          <w:rFonts w:cs="Arial"/>
          <w:bCs/>
          <w:color w:val="002060"/>
          <w:szCs w:val="24"/>
        </w:rPr>
      </w:pPr>
    </w:p>
    <w:p w:rsidR="0091219F" w:rsidRDefault="0091219F" w:rsidP="004815AC">
      <w:pPr>
        <w:autoSpaceDE w:val="0"/>
        <w:autoSpaceDN w:val="0"/>
        <w:adjustRightInd w:val="0"/>
        <w:ind w:firstLine="567"/>
        <w:rPr>
          <w:rFonts w:cs="Arial"/>
          <w:bCs/>
          <w:color w:val="002060"/>
          <w:szCs w:val="24"/>
        </w:rPr>
      </w:pPr>
    </w:p>
    <w:p w:rsidR="0091219F" w:rsidRDefault="0091219F" w:rsidP="004815AC">
      <w:pPr>
        <w:autoSpaceDE w:val="0"/>
        <w:autoSpaceDN w:val="0"/>
        <w:adjustRightInd w:val="0"/>
        <w:ind w:firstLine="567"/>
        <w:rPr>
          <w:rFonts w:cs="Arial"/>
          <w:bCs/>
          <w:color w:val="002060"/>
          <w:szCs w:val="24"/>
        </w:rPr>
      </w:pPr>
    </w:p>
    <w:p w:rsidR="00DC3CC8" w:rsidRDefault="00DC3CC8" w:rsidP="00B32FB6">
      <w:pPr>
        <w:tabs>
          <w:tab w:val="left" w:pos="567"/>
        </w:tabs>
        <w:autoSpaceDE w:val="0"/>
        <w:autoSpaceDN w:val="0"/>
        <w:adjustRightInd w:val="0"/>
        <w:rPr>
          <w:rFonts w:cs="Arial"/>
          <w:bCs/>
          <w:color w:val="002060"/>
          <w:szCs w:val="24"/>
        </w:rPr>
      </w:pPr>
      <w:r>
        <w:rPr>
          <w:noProof/>
          <w:color w:val="002060"/>
          <w:lang w:eastAsia="hr-HR"/>
        </w:rPr>
        <w:lastRenderedPageBreak/>
        <mc:AlternateContent>
          <mc:Choice Requires="wps">
            <w:drawing>
              <wp:anchor distT="0" distB="0" distL="114300" distR="114300" simplePos="0" relativeHeight="251681792" behindDoc="1" locked="0" layoutInCell="1" allowOverlap="1" wp14:anchorId="78A2237F" wp14:editId="7F38BB97">
                <wp:simplePos x="0" y="0"/>
                <wp:positionH relativeFrom="margin">
                  <wp:posOffset>0</wp:posOffset>
                </wp:positionH>
                <wp:positionV relativeFrom="paragraph">
                  <wp:posOffset>171450</wp:posOffset>
                </wp:positionV>
                <wp:extent cx="5867400" cy="514350"/>
                <wp:effectExtent l="0" t="0" r="19050" b="19050"/>
                <wp:wrapTight wrapText="bothSides">
                  <wp:wrapPolygon edited="0">
                    <wp:start x="0" y="0"/>
                    <wp:lineTo x="0" y="21600"/>
                    <wp:lineTo x="21600" y="21600"/>
                    <wp:lineTo x="21600" y="0"/>
                    <wp:lineTo x="0" y="0"/>
                  </wp:wrapPolygon>
                </wp:wrapTight>
                <wp:docPr id="5" name="Zaobljeni pravokutnik 9"/>
                <wp:cNvGraphicFramePr/>
                <a:graphic xmlns:a="http://schemas.openxmlformats.org/drawingml/2006/main">
                  <a:graphicData uri="http://schemas.microsoft.com/office/word/2010/wordprocessingShape">
                    <wps:wsp>
                      <wps:cNvSpPr/>
                      <wps:spPr>
                        <a:xfrm>
                          <a:off x="0" y="0"/>
                          <a:ext cx="5867400" cy="514350"/>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DC3CC8" w:rsidRPr="00F53AA3" w:rsidRDefault="00DC3CC8" w:rsidP="00DC3CC8">
                            <w:pPr>
                              <w:tabs>
                                <w:tab w:val="left" w:pos="142"/>
                              </w:tabs>
                              <w:jc w:val="left"/>
                              <w:rPr>
                                <w:sz w:val="22"/>
                              </w:rPr>
                            </w:pPr>
                            <w:r>
                              <w:rPr>
                                <w:rFonts w:cs="Arial"/>
                                <w:b/>
                                <w:bCs/>
                                <w:i/>
                                <w:color w:val="002060"/>
                                <w:sz w:val="22"/>
                              </w:rPr>
                              <w:t>ODRICANJE OD PRAVA NA REDOVITO GODIŠNJE FINANCIRANJE IZ PRORAČUNA NEZAVISNIH ZASTUPNIKA I NEZAVISNIH VIJEĆNIKA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237F" id="_x0000_s1032" style="position:absolute;left:0;text-align:left;margin-left:0;margin-top:13.5pt;width:462pt;height:40.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" fillcolor="white [3201]" strokecolor="#002060" strokeweight="2pt">
                <v:textbox>
                  <w:txbxContent>
                    <w:p w:rsidR="00DC3CC8" w:rsidRPr="00F53AA3" w:rsidRDefault="00DC3CC8" w:rsidP="00DC3CC8">
                      <w:pPr>
                        <w:tabs>
                          <w:tab w:val="left" w:pos="142"/>
                        </w:tabs>
                        <w:jc w:val="left"/>
                        <w:rPr>
                          <w:sz w:val="22"/>
                        </w:rPr>
                      </w:pPr>
                      <w:r>
                        <w:rPr>
                          <w:rFonts w:cs="Arial"/>
                          <w:b/>
                          <w:bCs/>
                          <w:i/>
                          <w:color w:val="002060"/>
                          <w:sz w:val="22"/>
                        </w:rPr>
                        <w:t>ODRICANJE OD PRAVA NA REDOVITO GODIŠNJE FINANCIRANJE IZ PRORAČUNA NEZAVISNIH ZASTUPNIKA I NEZAVISNIH VIJEĆNIKA</w:t>
                      </w:r>
                    </w:p>
                  </w:txbxContent>
                </v:textbox>
                <w10:wrap type="tight" anchorx="margin"/>
              </v:roundrect>
            </w:pict>
          </mc:Fallback>
        </mc:AlternateContent>
      </w:r>
    </w:p>
    <w:p w:rsidR="00DC3CC8"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Prema odredbama članka 8. Zakona o financiranju političkih aktivnosti, izborne promidžbe i referenduma, nezavisni zastupnici i nezavisni vijećnici </w:t>
      </w:r>
      <w:r w:rsidRPr="005465D5">
        <w:rPr>
          <w:rFonts w:cs="Arial"/>
          <w:b/>
          <w:bCs/>
          <w:color w:val="002060"/>
          <w:szCs w:val="24"/>
        </w:rPr>
        <w:t>mogu se odreći</w:t>
      </w:r>
      <w:r>
        <w:rPr>
          <w:rFonts w:cs="Arial"/>
          <w:bCs/>
          <w:color w:val="002060"/>
          <w:szCs w:val="24"/>
        </w:rPr>
        <w:t xml:space="preserve"> prava na redovito godišnje financiranje iz državnog proračuna odnosno proračuna jedinice samouprave </w:t>
      </w:r>
      <w:r w:rsidRPr="00BB0BD9">
        <w:rPr>
          <w:rFonts w:cs="Arial"/>
          <w:b/>
          <w:bCs/>
          <w:color w:val="002060"/>
          <w:szCs w:val="24"/>
        </w:rPr>
        <w:t>pisanom izjavom</w:t>
      </w:r>
      <w:r>
        <w:rPr>
          <w:rFonts w:cs="Arial"/>
          <w:bCs/>
          <w:color w:val="002060"/>
          <w:szCs w:val="24"/>
        </w:rPr>
        <w:t xml:space="preserve"> </w:t>
      </w:r>
      <w:r w:rsidRPr="00BB0BD9">
        <w:rPr>
          <w:rFonts w:cs="Arial"/>
          <w:b/>
          <w:bCs/>
          <w:color w:val="002060"/>
          <w:szCs w:val="24"/>
        </w:rPr>
        <w:t>koja se dostavlja Odboru za Ustav, Poslovnik i politički sustav Hrvatskoga sabora odnosno predstavničkom tijelu jedinice samouprave</w:t>
      </w:r>
      <w:r>
        <w:rPr>
          <w:rFonts w:cs="Arial"/>
          <w:bCs/>
          <w:color w:val="002060"/>
          <w:szCs w:val="24"/>
        </w:rPr>
        <w:t xml:space="preserve"> </w:t>
      </w:r>
      <w:r w:rsidRPr="00BB0BD9">
        <w:rPr>
          <w:rFonts w:cs="Arial"/>
          <w:b/>
          <w:bCs/>
          <w:color w:val="002060"/>
          <w:szCs w:val="24"/>
        </w:rPr>
        <w:t>te Državnom izbornom povjerenstvu i Državnom uredu za reviziju</w:t>
      </w:r>
      <w:r>
        <w:rPr>
          <w:rFonts w:cs="Arial"/>
          <w:bCs/>
          <w:color w:val="002060"/>
          <w:szCs w:val="24"/>
        </w:rPr>
        <w:t xml:space="preserve">. Navedena pisana izjava dostavlja se Državnom izbornom povjerenstvu i Državnom uredu za reviziju </w:t>
      </w:r>
      <w:r w:rsidRPr="00BB0BD9">
        <w:rPr>
          <w:rFonts w:cs="Arial"/>
          <w:b/>
          <w:bCs/>
          <w:color w:val="002060"/>
          <w:szCs w:val="24"/>
        </w:rPr>
        <w:t>unosom u informacijski sustav za nadzor financiranja</w:t>
      </w:r>
      <w:r>
        <w:rPr>
          <w:rFonts w:cs="Arial"/>
          <w:bCs/>
          <w:color w:val="002060"/>
          <w:szCs w:val="24"/>
        </w:rPr>
        <w:t xml:space="preserve">. </w:t>
      </w:r>
    </w:p>
    <w:p w:rsidR="00200F36" w:rsidRDefault="00200F36" w:rsidP="004815AC">
      <w:pPr>
        <w:tabs>
          <w:tab w:val="left" w:pos="567"/>
        </w:tabs>
        <w:autoSpaceDE w:val="0"/>
        <w:autoSpaceDN w:val="0"/>
        <w:adjustRightInd w:val="0"/>
        <w:rPr>
          <w:rFonts w:cs="Arial"/>
          <w:bCs/>
          <w:color w:val="002060"/>
          <w:szCs w:val="24"/>
        </w:rPr>
      </w:pPr>
    </w:p>
    <w:p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Sadržaj pisane izjave dodatno je pojašnjen stavkom 3., 4. i 5. istog članka Zakona:</w:t>
      </w:r>
    </w:p>
    <w:p w:rsidR="004815AC" w:rsidRDefault="004815AC" w:rsidP="004815AC">
      <w:pPr>
        <w:pStyle w:val="Odlomakpopisa"/>
        <w:numPr>
          <w:ilvl w:val="0"/>
          <w:numId w:val="22"/>
        </w:numPr>
        <w:tabs>
          <w:tab w:val="left" w:pos="567"/>
        </w:tabs>
        <w:autoSpaceDE w:val="0"/>
        <w:autoSpaceDN w:val="0"/>
        <w:adjustRightInd w:val="0"/>
        <w:rPr>
          <w:rFonts w:cs="Arial"/>
          <w:bCs/>
          <w:color w:val="002060"/>
          <w:szCs w:val="24"/>
        </w:rPr>
      </w:pPr>
      <w:r>
        <w:rPr>
          <w:rFonts w:cs="Arial"/>
          <w:bCs/>
          <w:color w:val="002060"/>
          <w:szCs w:val="24"/>
        </w:rPr>
        <w:t>Nezavisni zastupnik odnosno nezavisni vijećnik koji je otvorio poseban račun za redovito godišnje financiranje, a koji ne ostvaruje prihode za redovito godišnje financiranje iz drugih zakonom dopuštenih izvora, dužan je u roku od 60 dana od dana podnošenja izjave, zatvoriti poseban račun za redovito financiranje svoje djelatnosti te preostala sredstva odnosno vrijednost imovine ili imovinu nabavljenu iz tih sredstava rasporediti na način propisan člankom 17. Zakona.</w:t>
      </w:r>
    </w:p>
    <w:p w:rsidR="004815AC" w:rsidRDefault="004815AC" w:rsidP="004815AC">
      <w:pPr>
        <w:pStyle w:val="Odlomakpopisa"/>
        <w:numPr>
          <w:ilvl w:val="0"/>
          <w:numId w:val="21"/>
        </w:numPr>
        <w:tabs>
          <w:tab w:val="left" w:pos="567"/>
        </w:tabs>
        <w:autoSpaceDE w:val="0"/>
        <w:autoSpaceDN w:val="0"/>
        <w:adjustRightInd w:val="0"/>
        <w:rPr>
          <w:rFonts w:cs="Arial"/>
          <w:bCs/>
          <w:color w:val="002060"/>
          <w:szCs w:val="24"/>
        </w:rPr>
      </w:pPr>
      <w:r>
        <w:rPr>
          <w:rFonts w:cs="Arial"/>
          <w:bCs/>
          <w:color w:val="002060"/>
          <w:szCs w:val="24"/>
        </w:rPr>
        <w:t>Ako nezavisni zastupnik odnosno nezavisni vijećnik ne ostvaruje prihode za redovito godišnje financiranje iz drugih zakonom dopuštenih izvora, dužan je to navesti u izjavi.</w:t>
      </w:r>
    </w:p>
    <w:p w:rsidR="004815AC" w:rsidRDefault="004815AC" w:rsidP="004815AC">
      <w:pPr>
        <w:pStyle w:val="Odlomakpopisa"/>
        <w:numPr>
          <w:ilvl w:val="0"/>
          <w:numId w:val="21"/>
        </w:numPr>
        <w:tabs>
          <w:tab w:val="left" w:pos="567"/>
        </w:tabs>
        <w:autoSpaceDE w:val="0"/>
        <w:autoSpaceDN w:val="0"/>
        <w:adjustRightInd w:val="0"/>
        <w:rPr>
          <w:rFonts w:cs="Arial"/>
          <w:bCs/>
          <w:color w:val="002060"/>
          <w:szCs w:val="24"/>
        </w:rPr>
      </w:pPr>
      <w:r>
        <w:rPr>
          <w:rFonts w:cs="Arial"/>
          <w:bCs/>
          <w:color w:val="002060"/>
          <w:szCs w:val="24"/>
        </w:rPr>
        <w:t>Nezavisni zastupnik odnosno nezavisni vijećnik koji nema pravo na financiranje iz proračuna do isteka proračunske godine u kojoj je izjavu podnio i za tu proračunsku godinu ne može je povući, a financijska sredstva koja pripadaju tom nezavisnom zastupniku odnosno nezavisnom vijećniku za tu proračunsku godinu ostaju u državnom proračunu odnosno proračunu jedinice samouprave.</w:t>
      </w:r>
    </w:p>
    <w:p w:rsidR="004815AC" w:rsidRDefault="004815AC" w:rsidP="004815AC">
      <w:pPr>
        <w:tabs>
          <w:tab w:val="left" w:pos="567"/>
        </w:tabs>
        <w:autoSpaceDE w:val="0"/>
        <w:autoSpaceDN w:val="0"/>
        <w:adjustRightInd w:val="0"/>
        <w:rPr>
          <w:rFonts w:cs="Arial"/>
          <w:bCs/>
          <w:color w:val="002060"/>
          <w:szCs w:val="24"/>
        </w:rPr>
      </w:pPr>
    </w:p>
    <w:p w:rsidR="004815AC" w:rsidRPr="00925034" w:rsidRDefault="004815AC" w:rsidP="00176450">
      <w:pPr>
        <w:tabs>
          <w:tab w:val="left" w:pos="567"/>
        </w:tabs>
        <w:autoSpaceDE w:val="0"/>
        <w:autoSpaceDN w:val="0"/>
        <w:adjustRightInd w:val="0"/>
        <w:rPr>
          <w:rFonts w:cs="Arial"/>
          <w:bCs/>
          <w:color w:val="002060"/>
          <w:szCs w:val="24"/>
        </w:rPr>
      </w:pPr>
      <w:r>
        <w:rPr>
          <w:rFonts w:cs="Arial"/>
          <w:bCs/>
          <w:color w:val="002060"/>
          <w:szCs w:val="24"/>
        </w:rPr>
        <w:tab/>
        <w:t xml:space="preserve">U slučaju mirovanja mandata ili prestanka mandata prije isteka vremena na koje je izabran, </w:t>
      </w:r>
      <w:r w:rsidRPr="007867A7">
        <w:rPr>
          <w:rFonts w:cs="Arial"/>
          <w:b/>
          <w:bCs/>
          <w:color w:val="002060"/>
          <w:szCs w:val="24"/>
        </w:rPr>
        <w:t>izjava nezavisnog zastupnika odnosno nezavisnog vijećnika ne obvezuje njegovog zamjenika</w:t>
      </w:r>
      <w:r>
        <w:rPr>
          <w:rFonts w:cs="Arial"/>
          <w:bCs/>
          <w:color w:val="002060"/>
          <w:szCs w:val="24"/>
        </w:rPr>
        <w:t>. Na zamjenika koji se želi odreći prava na redovito godišnje financiranje iz državnog proračuna ili proračuna jedinice samouprave, na odgovarajući način primjenjuju se odredbe članka 8. Zakona o financiranju političkih aktivnosti, izborne promidžbe i referenduma.</w:t>
      </w:r>
      <w:r w:rsidRPr="00925034">
        <w:rPr>
          <w:rFonts w:cs="Arial"/>
          <w:bCs/>
          <w:color w:val="002060"/>
          <w:szCs w:val="24"/>
        </w:rPr>
        <w:t xml:space="preserve"> </w:t>
      </w:r>
    </w:p>
    <w:p w:rsidR="00200F36" w:rsidRDefault="00200F36" w:rsidP="004815AC">
      <w:pPr>
        <w:autoSpaceDE w:val="0"/>
        <w:autoSpaceDN w:val="0"/>
        <w:adjustRightInd w:val="0"/>
        <w:rPr>
          <w:rFonts w:cs="Arial"/>
          <w:bCs/>
          <w:color w:val="002060"/>
          <w:szCs w:val="24"/>
        </w:rPr>
      </w:pPr>
    </w:p>
    <w:p w:rsidR="00176450" w:rsidRDefault="00176450" w:rsidP="004815AC">
      <w:pPr>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79744" behindDoc="1" locked="0" layoutInCell="1" allowOverlap="1" wp14:anchorId="1403C1DB" wp14:editId="6F309D50">
                <wp:simplePos x="0" y="0"/>
                <wp:positionH relativeFrom="margin">
                  <wp:posOffset>3810</wp:posOffset>
                </wp:positionH>
                <wp:positionV relativeFrom="paragraph">
                  <wp:posOffset>173355</wp:posOffset>
                </wp:positionV>
                <wp:extent cx="4981575" cy="333375"/>
                <wp:effectExtent l="0" t="0" r="28575" b="28575"/>
                <wp:wrapTight wrapText="bothSides">
                  <wp:wrapPolygon edited="0">
                    <wp:start x="0" y="0"/>
                    <wp:lineTo x="0" y="22217"/>
                    <wp:lineTo x="21641" y="22217"/>
                    <wp:lineTo x="21641" y="0"/>
                    <wp:lineTo x="0" y="0"/>
                  </wp:wrapPolygon>
                </wp:wrapTight>
                <wp:docPr id="11" name="Zaobljeni pravokutnik 11"/>
                <wp:cNvGraphicFramePr/>
                <a:graphic xmlns:a="http://schemas.openxmlformats.org/drawingml/2006/main">
                  <a:graphicData uri="http://schemas.microsoft.com/office/word/2010/wordprocessingShape">
                    <wps:wsp>
                      <wps:cNvSpPr/>
                      <wps:spPr>
                        <a:xfrm>
                          <a:off x="0" y="0"/>
                          <a:ext cx="4981575" cy="333375"/>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176450" w:rsidRPr="00F53AA3" w:rsidRDefault="00176450" w:rsidP="00176450">
                            <w:pPr>
                              <w:tabs>
                                <w:tab w:val="left" w:pos="142"/>
                              </w:tabs>
                              <w:jc w:val="left"/>
                              <w:rPr>
                                <w:sz w:val="22"/>
                              </w:rPr>
                            </w:pPr>
                            <w:r>
                              <w:rPr>
                                <w:rFonts w:cs="Arial"/>
                                <w:b/>
                                <w:bCs/>
                                <w:i/>
                                <w:color w:val="002060"/>
                                <w:sz w:val="22"/>
                              </w:rPr>
                              <w:t>EVIDENCIJE O POLITIČKIM STRANKAMA I NEZAVISNIM VIJEĆNICIMA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3C1DB" id="Zaobljeni pravokutnik 11" o:spid="_x0000_s1033" style="position:absolute;left:0;text-align:left;margin-left:.3pt;margin-top:13.65pt;width:392.25pt;height:26.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" fillcolor="white [3201]" strokecolor="#002060" strokeweight="2pt">
                <v:textbox>
                  <w:txbxContent>
                    <w:p w:rsidR="00176450" w:rsidRPr="00F53AA3" w:rsidRDefault="00176450" w:rsidP="00176450">
                      <w:pPr>
                        <w:tabs>
                          <w:tab w:val="left" w:pos="142"/>
                        </w:tabs>
                        <w:jc w:val="left"/>
                        <w:rPr>
                          <w:sz w:val="22"/>
                        </w:rPr>
                      </w:pPr>
                      <w:r>
                        <w:rPr>
                          <w:rFonts w:cs="Arial"/>
                          <w:b/>
                          <w:bCs/>
                          <w:i/>
                          <w:color w:val="002060"/>
                          <w:sz w:val="22"/>
                        </w:rPr>
                        <w:t>EVIDENCIJE O POLITIČKIM STRANKAMA I NEZAVISNIM VIJEĆNICIMA</w:t>
                      </w:r>
                    </w:p>
                  </w:txbxContent>
                </v:textbox>
                <w10:wrap type="tight" anchorx="margin"/>
              </v:roundrect>
            </w:pict>
          </mc:Fallback>
        </mc:AlternateContent>
      </w:r>
    </w:p>
    <w:p w:rsidR="00176450" w:rsidRDefault="00176450" w:rsidP="004815AC">
      <w:pPr>
        <w:autoSpaceDE w:val="0"/>
        <w:autoSpaceDN w:val="0"/>
        <w:adjustRightInd w:val="0"/>
        <w:rPr>
          <w:rFonts w:cs="Arial"/>
          <w:bCs/>
          <w:color w:val="002060"/>
          <w:szCs w:val="24"/>
        </w:rPr>
      </w:pPr>
    </w:p>
    <w:p w:rsidR="00176450" w:rsidRDefault="00176450" w:rsidP="004815AC">
      <w:pPr>
        <w:autoSpaceDE w:val="0"/>
        <w:autoSpaceDN w:val="0"/>
        <w:adjustRightInd w:val="0"/>
        <w:rPr>
          <w:rFonts w:cs="Arial"/>
          <w:bCs/>
          <w:color w:val="002060"/>
          <w:szCs w:val="24"/>
        </w:rPr>
      </w:pPr>
    </w:p>
    <w:p w:rsidR="00176450" w:rsidRDefault="00176450" w:rsidP="004815AC">
      <w:pPr>
        <w:autoSpaceDE w:val="0"/>
        <w:autoSpaceDN w:val="0"/>
        <w:adjustRightInd w:val="0"/>
        <w:rPr>
          <w:rFonts w:cs="Arial"/>
          <w:bCs/>
          <w:color w:val="002060"/>
          <w:szCs w:val="24"/>
        </w:rPr>
      </w:pPr>
    </w:p>
    <w:p w:rsidR="00F84691" w:rsidRDefault="00176450" w:rsidP="00F84691">
      <w:pPr>
        <w:tabs>
          <w:tab w:val="left" w:pos="567"/>
        </w:tabs>
        <w:autoSpaceDE w:val="0"/>
        <w:autoSpaceDN w:val="0"/>
        <w:adjustRightInd w:val="0"/>
        <w:rPr>
          <w:rFonts w:cs="Arial"/>
          <w:bCs/>
          <w:color w:val="002060"/>
          <w:szCs w:val="24"/>
        </w:rPr>
      </w:pPr>
      <w:r>
        <w:rPr>
          <w:rFonts w:cs="Arial"/>
          <w:bCs/>
          <w:color w:val="002060"/>
          <w:szCs w:val="24"/>
        </w:rPr>
        <w:tab/>
        <w:t xml:space="preserve">Od 1. siječnja 2020., poslove vođenja evidencije o političkim strankama i nezavisnim vijećnicima zastupljenim u predstavničkim tijelima jedinica samouprave kao povjerene poslove državne uprave obavljaju upravna tijela županija odnosno Grada Zagreba, do uspostave jedinstvenog registra jedinica lokalne i područne (regionalne) samouprave. Jedinice lokalne samouprave dužne su dostaviti pisanu obavijest </w:t>
      </w:r>
      <w:r w:rsidR="00F84691">
        <w:rPr>
          <w:rFonts w:cs="Arial"/>
          <w:bCs/>
          <w:color w:val="002060"/>
          <w:szCs w:val="24"/>
        </w:rPr>
        <w:t xml:space="preserve">upravnom tijelu županije o svakoj promjeni podataka iz evidencije, najkasnije u roku od osam dana od dana nastanka promjene (navedene evidencije, promjene odnosno ažurirane evidencije, dostavljaju se Državnom uredu za reviziju na e-adresu: </w:t>
      </w:r>
      <w:hyperlink r:id="rId16" w:history="1">
        <w:r w:rsidR="00F84691" w:rsidRPr="009321A2">
          <w:rPr>
            <w:rStyle w:val="Hiperveza"/>
            <w:rFonts w:eastAsia="Times New Roman" w:cs="Times New Roman"/>
            <w:color w:val="984806" w:themeColor="accent6" w:themeShade="80"/>
            <w:sz w:val="22"/>
            <w:lang w:eastAsia="hr-HR"/>
          </w:rPr>
          <w:t>politicke.aktivnosti@revizija.hr</w:t>
        </w:r>
      </w:hyperlink>
      <w:r w:rsidR="00F84691">
        <w:rPr>
          <w:rFonts w:cs="Arial"/>
          <w:bCs/>
          <w:color w:val="002060"/>
          <w:szCs w:val="24"/>
        </w:rPr>
        <w:t xml:space="preserve">).  </w:t>
      </w:r>
    </w:p>
    <w:p w:rsidR="00176450" w:rsidRDefault="00176450" w:rsidP="004815AC">
      <w:pPr>
        <w:autoSpaceDE w:val="0"/>
        <w:autoSpaceDN w:val="0"/>
        <w:adjustRightInd w:val="0"/>
        <w:rPr>
          <w:rFonts w:cs="Arial"/>
          <w:bCs/>
          <w:color w:val="002060"/>
          <w:szCs w:val="24"/>
        </w:rPr>
      </w:pPr>
    </w:p>
    <w:p w:rsidR="004815AC" w:rsidRPr="008C737C" w:rsidRDefault="004815AC" w:rsidP="004815AC">
      <w:pPr>
        <w:autoSpaceDE w:val="0"/>
        <w:autoSpaceDN w:val="0"/>
        <w:adjustRightInd w:val="0"/>
        <w:rPr>
          <w:rFonts w:cs="Arial"/>
          <w:bCs/>
          <w:color w:val="002060"/>
          <w:szCs w:val="24"/>
        </w:rPr>
      </w:pPr>
      <w:r>
        <w:rPr>
          <w:noProof/>
          <w:color w:val="002060"/>
          <w:lang w:eastAsia="hr-HR"/>
        </w:rPr>
        <w:lastRenderedPageBreak/>
        <mc:AlternateContent>
          <mc:Choice Requires="wps">
            <w:drawing>
              <wp:anchor distT="0" distB="0" distL="114300" distR="114300" simplePos="0" relativeHeight="251677696" behindDoc="1" locked="0" layoutInCell="1" allowOverlap="1" wp14:anchorId="3F27864D" wp14:editId="6A581003">
                <wp:simplePos x="0" y="0"/>
                <wp:positionH relativeFrom="margin">
                  <wp:align>left</wp:align>
                </wp:positionH>
                <wp:positionV relativeFrom="paragraph">
                  <wp:posOffset>177800</wp:posOffset>
                </wp:positionV>
                <wp:extent cx="3667125" cy="314325"/>
                <wp:effectExtent l="0" t="0" r="28575" b="28575"/>
                <wp:wrapTight wrapText="bothSides">
                  <wp:wrapPolygon edited="0">
                    <wp:start x="0" y="0"/>
                    <wp:lineTo x="0" y="22255"/>
                    <wp:lineTo x="21656" y="22255"/>
                    <wp:lineTo x="21656" y="0"/>
                    <wp:lineTo x="0" y="0"/>
                  </wp:wrapPolygon>
                </wp:wrapTight>
                <wp:docPr id="10" name="Zaobljeni pravokutnik 10"/>
                <wp:cNvGraphicFramePr/>
                <a:graphic xmlns:a="http://schemas.openxmlformats.org/drawingml/2006/main">
                  <a:graphicData uri="http://schemas.microsoft.com/office/word/2010/wordprocessingShape">
                    <wps:wsp>
                      <wps:cNvSpPr/>
                      <wps:spPr>
                        <a:xfrm>
                          <a:off x="0" y="0"/>
                          <a:ext cx="3667125" cy="314325"/>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4815AC" w:rsidRPr="00F53AA3" w:rsidRDefault="004815AC" w:rsidP="004815AC">
                            <w:pPr>
                              <w:tabs>
                                <w:tab w:val="left" w:pos="142"/>
                              </w:tabs>
                              <w:jc w:val="left"/>
                              <w:rPr>
                                <w:sz w:val="22"/>
                              </w:rPr>
                            </w:pPr>
                            <w:r w:rsidRPr="00F53AA3">
                              <w:rPr>
                                <w:rFonts w:cs="Arial"/>
                                <w:b/>
                                <w:bCs/>
                                <w:i/>
                                <w:color w:val="002060"/>
                                <w:sz w:val="22"/>
                              </w:rPr>
                              <w:t>ADMINISTRATIVNE I PREKRŠAJNE SANKCIJE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7864D" id="Zaobljeni pravokutnik 10" o:spid="_x0000_s1034" style="position:absolute;left:0;text-align:left;margin-left:0;margin-top:14pt;width:288.75pt;height:24.7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" fillcolor="white [3201]" strokecolor="#002060" strokeweight="2pt">
                <v:textbox>
                  <w:txbxContent>
                    <w:p w:rsidR="004815AC" w:rsidRPr="00F53AA3" w:rsidRDefault="004815AC" w:rsidP="004815AC">
                      <w:pPr>
                        <w:tabs>
                          <w:tab w:val="left" w:pos="142"/>
                        </w:tabs>
                        <w:jc w:val="left"/>
                        <w:rPr>
                          <w:sz w:val="22"/>
                        </w:rPr>
                      </w:pPr>
                      <w:r w:rsidRPr="00F53AA3">
                        <w:rPr>
                          <w:rFonts w:cs="Arial"/>
                          <w:b/>
                          <w:bCs/>
                          <w:i/>
                          <w:color w:val="002060"/>
                          <w:sz w:val="22"/>
                        </w:rPr>
                        <w:t>ADMINISTRATIVNE I PREKRŠAJNE SANKCIJE</w:t>
                      </w:r>
                    </w:p>
                  </w:txbxContent>
                </v:textbox>
                <w10:wrap type="tight" anchorx="margin"/>
              </v:roundrect>
            </w:pict>
          </mc:Fallback>
        </mc:AlternateContent>
      </w:r>
    </w:p>
    <w:p w:rsidR="004815AC" w:rsidRPr="008C737C" w:rsidRDefault="004815AC" w:rsidP="004815AC">
      <w:pPr>
        <w:autoSpaceDE w:val="0"/>
        <w:autoSpaceDN w:val="0"/>
        <w:adjustRightInd w:val="0"/>
        <w:rPr>
          <w:rFonts w:cs="Arial"/>
          <w:bCs/>
          <w:color w:val="002060"/>
          <w:szCs w:val="24"/>
        </w:rPr>
      </w:pPr>
    </w:p>
    <w:p w:rsidR="004815AC" w:rsidRDefault="004815AC" w:rsidP="004815AC">
      <w:pPr>
        <w:tabs>
          <w:tab w:val="left" w:pos="567"/>
        </w:tabs>
        <w:autoSpaceDE w:val="0"/>
        <w:autoSpaceDN w:val="0"/>
        <w:adjustRightInd w:val="0"/>
        <w:rPr>
          <w:rFonts w:cs="Arial"/>
          <w:b/>
          <w:bCs/>
          <w:i/>
          <w:color w:val="002060"/>
          <w:szCs w:val="24"/>
        </w:rPr>
      </w:pPr>
    </w:p>
    <w:p w:rsidR="004815AC" w:rsidRDefault="004815AC" w:rsidP="004815AC">
      <w:pPr>
        <w:tabs>
          <w:tab w:val="left" w:pos="567"/>
        </w:tabs>
        <w:autoSpaceDE w:val="0"/>
        <w:autoSpaceDN w:val="0"/>
        <w:adjustRightInd w:val="0"/>
        <w:rPr>
          <w:rFonts w:cs="Arial"/>
          <w:b/>
          <w:bCs/>
          <w:i/>
          <w:color w:val="002060"/>
          <w:szCs w:val="24"/>
        </w:rPr>
      </w:pPr>
    </w:p>
    <w:p w:rsidR="004815AC" w:rsidRDefault="004815AC" w:rsidP="004815AC">
      <w:pPr>
        <w:tabs>
          <w:tab w:val="left" w:pos="567"/>
        </w:tabs>
        <w:autoSpaceDE w:val="0"/>
        <w:autoSpaceDN w:val="0"/>
        <w:adjustRightInd w:val="0"/>
        <w:rPr>
          <w:rFonts w:cs="Arial"/>
          <w:bCs/>
          <w:color w:val="002060"/>
          <w:szCs w:val="24"/>
        </w:rPr>
      </w:pPr>
      <w:r w:rsidRPr="008C737C">
        <w:rPr>
          <w:rFonts w:cs="Arial"/>
          <w:bCs/>
          <w:color w:val="002060"/>
          <w:szCs w:val="24"/>
        </w:rPr>
        <w:tab/>
      </w:r>
      <w:r w:rsidRPr="00977FE9">
        <w:rPr>
          <w:rFonts w:cs="Arial"/>
          <w:bCs/>
          <w:color w:val="002060"/>
          <w:szCs w:val="24"/>
        </w:rPr>
        <w:t xml:space="preserve">Odredbama članaka </w:t>
      </w:r>
      <w:r>
        <w:rPr>
          <w:rFonts w:cs="Arial"/>
          <w:bCs/>
          <w:color w:val="002060"/>
          <w:szCs w:val="24"/>
        </w:rPr>
        <w:t>63</w:t>
      </w:r>
      <w:r w:rsidRPr="00977FE9">
        <w:rPr>
          <w:rFonts w:cs="Arial"/>
          <w:bCs/>
          <w:color w:val="002060"/>
          <w:szCs w:val="24"/>
        </w:rPr>
        <w:t xml:space="preserve">. do </w:t>
      </w:r>
      <w:r>
        <w:rPr>
          <w:rFonts w:cs="Arial"/>
          <w:bCs/>
          <w:color w:val="002060"/>
          <w:szCs w:val="24"/>
        </w:rPr>
        <w:t>64</w:t>
      </w:r>
      <w:r w:rsidRPr="00977FE9">
        <w:rPr>
          <w:rFonts w:cs="Arial"/>
          <w:bCs/>
          <w:color w:val="002060"/>
          <w:szCs w:val="24"/>
        </w:rPr>
        <w:t>.</w:t>
      </w:r>
      <w:r>
        <w:rPr>
          <w:rFonts w:cs="Arial"/>
          <w:bCs/>
          <w:color w:val="002060"/>
          <w:szCs w:val="24"/>
        </w:rPr>
        <w:t xml:space="preserve"> te 87. do 94. Zakona o financiranju političkih aktivnosti, izborne promidžbe i referenduma</w:t>
      </w:r>
      <w:r w:rsidRPr="00977FE9">
        <w:rPr>
          <w:rFonts w:cs="Arial"/>
          <w:bCs/>
          <w:color w:val="002060"/>
          <w:szCs w:val="24"/>
        </w:rPr>
        <w:t>, propisane su administrativne i prekršajne sankcije. O utvrđenim povredama navedenog Zakona, u okviru svojeg djelokruga, Državni ured za reviziju</w:t>
      </w:r>
      <w:r w:rsidR="00DC3CC8">
        <w:rPr>
          <w:rFonts w:cs="Arial"/>
          <w:bCs/>
          <w:color w:val="002060"/>
          <w:szCs w:val="24"/>
        </w:rPr>
        <w:t>,</w:t>
      </w:r>
      <w:r w:rsidRPr="00977FE9">
        <w:rPr>
          <w:rFonts w:cs="Arial"/>
          <w:bCs/>
          <w:color w:val="002060"/>
          <w:szCs w:val="24"/>
        </w:rPr>
        <w:t xml:space="preserve"> između ostalog, dužan je obavijestiti nadležno državno odvjetništvo. </w:t>
      </w:r>
    </w:p>
    <w:p w:rsidR="009309F1" w:rsidRDefault="009309F1" w:rsidP="00B32FB6">
      <w:pPr>
        <w:tabs>
          <w:tab w:val="left" w:pos="567"/>
        </w:tabs>
        <w:autoSpaceDE w:val="0"/>
        <w:autoSpaceDN w:val="0"/>
        <w:adjustRightInd w:val="0"/>
        <w:rPr>
          <w:rFonts w:cs="Arial"/>
          <w:bCs/>
          <w:color w:val="002060"/>
          <w:szCs w:val="24"/>
        </w:rPr>
      </w:pPr>
    </w:p>
    <w:p w:rsidR="009309F1" w:rsidRDefault="009309F1" w:rsidP="00790898">
      <w:pPr>
        <w:tabs>
          <w:tab w:val="left" w:pos="567"/>
        </w:tabs>
        <w:autoSpaceDE w:val="0"/>
        <w:autoSpaceDN w:val="0"/>
        <w:adjustRightInd w:val="0"/>
        <w:ind w:left="567" w:hanging="567"/>
        <w:rPr>
          <w:rFonts w:cs="Arial"/>
          <w:b/>
          <w:bCs/>
          <w:i/>
          <w:color w:val="002060"/>
          <w:szCs w:val="24"/>
        </w:rPr>
      </w:pPr>
    </w:p>
    <w:p w:rsidR="00272AC7" w:rsidRDefault="00272AC7" w:rsidP="00272AC7">
      <w:pPr>
        <w:autoSpaceDE w:val="0"/>
        <w:autoSpaceDN w:val="0"/>
        <w:adjustRightInd w:val="0"/>
        <w:jc w:val="left"/>
        <w:rPr>
          <w:rFonts w:cs="Arial"/>
          <w:bCs/>
          <w:color w:val="002060"/>
          <w:szCs w:val="24"/>
        </w:rPr>
      </w:pP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9B7873">
        <w:rPr>
          <w:rFonts w:cs="Arial"/>
          <w:bCs/>
          <w:color w:val="002060"/>
          <w:szCs w:val="24"/>
        </w:rPr>
        <w:t>GLAVNI DRŽAVNI REVIZOR</w:t>
      </w:r>
    </w:p>
    <w:p w:rsidR="00C413F0" w:rsidRDefault="00C413F0" w:rsidP="00272AC7">
      <w:pPr>
        <w:autoSpaceDE w:val="0"/>
        <w:autoSpaceDN w:val="0"/>
        <w:adjustRightInd w:val="0"/>
        <w:jc w:val="left"/>
        <w:rPr>
          <w:rFonts w:cs="Arial"/>
          <w:bCs/>
          <w:color w:val="002060"/>
          <w:szCs w:val="24"/>
        </w:rPr>
      </w:pPr>
    </w:p>
    <w:p w:rsidR="00DD2B74" w:rsidRPr="008C737C" w:rsidRDefault="00272AC7" w:rsidP="00C413F0">
      <w:pPr>
        <w:autoSpaceDE w:val="0"/>
        <w:autoSpaceDN w:val="0"/>
        <w:adjustRightInd w:val="0"/>
        <w:jc w:val="left"/>
        <w:rPr>
          <w:color w:val="002060"/>
        </w:rPr>
      </w:pP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00066959">
        <w:rPr>
          <w:rFonts w:ascii="Times New Roman" w:hAnsi="Times New Roman" w:cs="Times New Roman"/>
          <w:bCs/>
          <w:color w:val="002060"/>
          <w:szCs w:val="24"/>
        </w:rPr>
        <w:t xml:space="preserve">            </w:t>
      </w:r>
      <w:r w:rsidR="00F84691">
        <w:rPr>
          <w:rFonts w:ascii="Times New Roman" w:hAnsi="Times New Roman" w:cs="Times New Roman"/>
          <w:bCs/>
          <w:color w:val="002060"/>
          <w:szCs w:val="24"/>
        </w:rPr>
        <w:t xml:space="preserve"> </w:t>
      </w:r>
      <w:r w:rsidR="006C1878" w:rsidRPr="009B7873">
        <w:rPr>
          <w:rFonts w:cs="Arial"/>
          <w:bCs/>
          <w:color w:val="002060"/>
          <w:szCs w:val="24"/>
        </w:rPr>
        <w:t xml:space="preserve">mr. </w:t>
      </w:r>
      <w:r w:rsidR="00F12F39" w:rsidRPr="009B7873">
        <w:rPr>
          <w:rFonts w:cs="Arial"/>
          <w:bCs/>
          <w:color w:val="002060"/>
          <w:szCs w:val="24"/>
        </w:rPr>
        <w:t>Ivan Klešić, dipl. oec</w:t>
      </w:r>
      <w:r w:rsidR="00F84691">
        <w:rPr>
          <w:rFonts w:cs="Arial"/>
          <w:bCs/>
          <w:color w:val="002060"/>
          <w:szCs w:val="24"/>
        </w:rPr>
        <w:t>.</w:t>
      </w:r>
      <w:r w:rsidR="005F0C0A">
        <w:rPr>
          <w:rFonts w:cs="Arial"/>
          <w:bCs/>
          <w:color w:val="002060"/>
          <w:szCs w:val="24"/>
        </w:rPr>
        <w:t xml:space="preserve">, v. r. </w:t>
      </w:r>
    </w:p>
    <w:sectPr w:rsidR="00DD2B74" w:rsidRPr="008C737C" w:rsidSect="009B7873">
      <w:headerReference w:type="default" r:id="rId17"/>
      <w:type w:val="continuous"/>
      <w:pgSz w:w="11906" w:h="16838" w:code="9"/>
      <w:pgMar w:top="1134" w:right="1134" w:bottom="1134" w:left="1134" w:header="567"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DE" w:rsidRDefault="00C05EDE" w:rsidP="00BE5197">
      <w:r>
        <w:separator/>
      </w:r>
    </w:p>
  </w:endnote>
  <w:endnote w:type="continuationSeparator" w:id="0">
    <w:p w:rsidR="00C05EDE" w:rsidRDefault="00C05EDE" w:rsidP="00B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DE" w:rsidRDefault="00C05EDE" w:rsidP="00BE5197">
      <w:r>
        <w:separator/>
      </w:r>
    </w:p>
  </w:footnote>
  <w:footnote w:type="continuationSeparator" w:id="0">
    <w:p w:rsidR="00C05EDE" w:rsidRDefault="00C05EDE" w:rsidP="00BE5197">
      <w:r>
        <w:continuationSeparator/>
      </w:r>
    </w:p>
  </w:footnote>
  <w:footnote w:id="1">
    <w:p w:rsidR="00A538E6" w:rsidRPr="004815AC" w:rsidRDefault="002C3803" w:rsidP="00A538E6">
      <w:pPr>
        <w:pStyle w:val="Tekstfusnote"/>
        <w:tabs>
          <w:tab w:val="left" w:pos="360"/>
        </w:tabs>
        <w:ind w:left="357" w:hanging="357"/>
        <w:jc w:val="both"/>
        <w:rPr>
          <w:rFonts w:ascii="Arial" w:hAnsi="Arial" w:cs="Arial"/>
          <w:color w:val="365F91" w:themeColor="accent1" w:themeShade="BF"/>
        </w:rPr>
      </w:pPr>
      <w:r w:rsidRPr="00A82DFA">
        <w:rPr>
          <w:rStyle w:val="Referencafusnote"/>
          <w:rFonts w:ascii="Arial" w:hAnsi="Arial" w:cs="Arial"/>
          <w:i/>
          <w:color w:val="365F91" w:themeColor="accent1" w:themeShade="BF"/>
        </w:rPr>
        <w:footnoteRef/>
      </w:r>
      <w:r w:rsidRPr="00A82DFA">
        <w:rPr>
          <w:rFonts w:ascii="Arial" w:hAnsi="Arial" w:cs="Arial"/>
          <w:i/>
          <w:color w:val="365F91" w:themeColor="accent1" w:themeShade="BF"/>
        </w:rPr>
        <w:t xml:space="preserve"> </w:t>
      </w:r>
      <w:r w:rsidR="00A538E6" w:rsidRPr="004815AC">
        <w:rPr>
          <w:color w:val="365F91" w:themeColor="accent1" w:themeShade="BF"/>
        </w:rPr>
        <w:tab/>
      </w:r>
      <w:r w:rsidR="00A538E6" w:rsidRPr="004815AC">
        <w:rPr>
          <w:rFonts w:ascii="Arial" w:hAnsi="Arial" w:cs="Arial"/>
          <w:i/>
          <w:color w:val="365F91" w:themeColor="accent1" w:themeShade="BF"/>
        </w:rPr>
        <w:t>Prema odredbi članka 2. točke 1. i 2. Zakona o financiranju političkih aktivnosti, izborne promidžbe i referenduma, „nezavisni zastupnik“ znači zastupnik izabran s neovisne liste i zastupnik nacionalnih manjina izabran s liste koju su predložili birači ili udruge nacionalnih manjina</w:t>
      </w:r>
      <w:r w:rsidR="00DC3CC8">
        <w:rPr>
          <w:rFonts w:ascii="Arial" w:hAnsi="Arial" w:cs="Arial"/>
          <w:i/>
          <w:color w:val="365F91" w:themeColor="accent1" w:themeShade="BF"/>
        </w:rPr>
        <w:t>, a</w:t>
      </w:r>
      <w:r w:rsidR="00A538E6" w:rsidRPr="004815AC">
        <w:rPr>
          <w:rFonts w:ascii="Arial" w:hAnsi="Arial" w:cs="Arial"/>
          <w:i/>
          <w:color w:val="365F91" w:themeColor="accent1" w:themeShade="BF"/>
        </w:rPr>
        <w:t xml:space="preserve"> „nezavisni vijećnik“ znači član predstavničkog tijela jedinice lokalne i područne (regionalne) samouprave izabran s liste grupe birača.</w:t>
      </w:r>
    </w:p>
    <w:p w:rsidR="002C3803" w:rsidRPr="002C3803" w:rsidRDefault="002C3803">
      <w:pPr>
        <w:pStyle w:val="Tekstfusnote"/>
        <w:rPr>
          <w:lang w:val="en-US"/>
        </w:rPr>
      </w:pPr>
    </w:p>
  </w:footnote>
  <w:footnote w:id="2">
    <w:p w:rsidR="0003596D" w:rsidRPr="003403E8" w:rsidRDefault="0003596D" w:rsidP="00DC3CC8">
      <w:pPr>
        <w:tabs>
          <w:tab w:val="left" w:pos="360"/>
        </w:tabs>
        <w:autoSpaceDE w:val="0"/>
        <w:autoSpaceDN w:val="0"/>
        <w:adjustRightInd w:val="0"/>
        <w:ind w:left="360" w:hanging="360"/>
        <w:rPr>
          <w:sz w:val="20"/>
          <w:szCs w:val="20"/>
        </w:rPr>
      </w:pPr>
      <w:r w:rsidRPr="00A82DFA">
        <w:rPr>
          <w:rStyle w:val="Referencafusnote"/>
          <w:i/>
          <w:color w:val="365F91" w:themeColor="accent1" w:themeShade="BF"/>
          <w:sz w:val="20"/>
          <w:szCs w:val="20"/>
        </w:rPr>
        <w:footnoteRef/>
      </w:r>
      <w:r w:rsidRPr="00A82DFA">
        <w:rPr>
          <w:i/>
          <w:color w:val="365F91" w:themeColor="accent1" w:themeShade="BF"/>
          <w:sz w:val="20"/>
          <w:szCs w:val="20"/>
        </w:rPr>
        <w:t xml:space="preserve"> </w:t>
      </w:r>
      <w:r w:rsidR="0013306C">
        <w:rPr>
          <w:color w:val="365F91" w:themeColor="accent1" w:themeShade="BF"/>
          <w:sz w:val="20"/>
          <w:szCs w:val="20"/>
        </w:rPr>
        <w:tab/>
      </w:r>
      <w:r w:rsidRPr="003403E8">
        <w:rPr>
          <w:rFonts w:cs="Arial"/>
          <w:bCs/>
          <w:i/>
          <w:color w:val="365F91" w:themeColor="accent1" w:themeShade="BF"/>
          <w:sz w:val="20"/>
          <w:szCs w:val="20"/>
        </w:rPr>
        <w:t>Prvi godišnji financijski izvještaji, zajedno s prilozima, koji se sastavljaju i dostavljaju Državnom uredu za reviziju i Državnom izbornom povjerenstvu u skladu s odredbama Zakona o financiranju političkih aktivnosti, izborne promidžbe i referenduma, odnose se na izvještajno razdoblje od 1. siječnja 2019.</w:t>
      </w:r>
    </w:p>
  </w:footnote>
  <w:footnote w:id="3">
    <w:p w:rsidR="003403E8" w:rsidRPr="003403E8" w:rsidRDefault="003403E8" w:rsidP="003403E8">
      <w:pPr>
        <w:pStyle w:val="Tekstfusnote"/>
        <w:tabs>
          <w:tab w:val="left" w:pos="360"/>
        </w:tabs>
        <w:ind w:left="360" w:hanging="360"/>
        <w:jc w:val="both"/>
        <w:rPr>
          <w:rFonts w:ascii="Arial" w:hAnsi="Arial" w:cs="Arial"/>
          <w:bCs/>
          <w:i/>
          <w:color w:val="365F91" w:themeColor="accent1" w:themeShade="BF"/>
        </w:rPr>
      </w:pPr>
      <w:r w:rsidRPr="00A82DFA">
        <w:rPr>
          <w:rStyle w:val="Referencafusnote"/>
          <w:rFonts w:ascii="Arial" w:hAnsi="Arial"/>
          <w:i/>
          <w:color w:val="365F91" w:themeColor="accent1" w:themeShade="BF"/>
        </w:rPr>
        <w:footnoteRef/>
      </w:r>
      <w:r w:rsidRPr="00A82DFA">
        <w:rPr>
          <w:rStyle w:val="Referencafusnote"/>
          <w:rFonts w:ascii="Arial" w:hAnsi="Arial"/>
          <w:i/>
          <w:color w:val="365F91" w:themeColor="accent1" w:themeShade="BF"/>
        </w:rPr>
        <w:t xml:space="preserve"> </w:t>
      </w:r>
      <w:r w:rsidRPr="003403E8">
        <w:tab/>
      </w:r>
      <w:r w:rsidRPr="003403E8">
        <w:rPr>
          <w:rFonts w:ascii="Arial" w:hAnsi="Arial" w:cs="Arial"/>
          <w:bCs/>
          <w:i/>
          <w:color w:val="365F91" w:themeColor="accent1" w:themeShade="BF"/>
        </w:rPr>
        <w:t>Prema odredbi članka 2. točke 12. Zakona o financiranju političkih aktivnosti, izborne promidžbe i referenduma, informacijski sustav za nadzor financiranja znači računalni program putem kojega političke stranke, nezavisni zastupnici, nezavisni vijećnici te osobe ovlaštene za zastupanje neovisnih lista, nositelji lista grupe birača i kandidati te predstavnik organizacijskog odbora dostavljaju nadležnim tijelima financijske izvještaje i druga propisana izvješća i podatke te putem kojeg se propisana izvješća objavljuju na mrežnim stranicama Državnog izbornog povjerenstva.</w:t>
      </w:r>
    </w:p>
    <w:p w:rsidR="003403E8" w:rsidRDefault="003403E8">
      <w:pPr>
        <w:pStyle w:val="Tekstfusnote"/>
      </w:pPr>
    </w:p>
  </w:footnote>
  <w:footnote w:id="4">
    <w:p w:rsidR="004815AC" w:rsidRPr="004815AC" w:rsidRDefault="004815AC" w:rsidP="004815AC">
      <w:pPr>
        <w:pStyle w:val="Tekstfusnote"/>
        <w:ind w:left="426" w:hanging="426"/>
        <w:jc w:val="both"/>
        <w:rPr>
          <w:rFonts w:ascii="Arial" w:hAnsi="Arial" w:cs="Arial"/>
          <w:i/>
          <w:color w:val="365F91" w:themeColor="accent1" w:themeShade="BF"/>
        </w:rPr>
      </w:pPr>
      <w:r w:rsidRPr="004815AC">
        <w:rPr>
          <w:rStyle w:val="Referencafusnote"/>
          <w:rFonts w:ascii="Arial" w:hAnsi="Arial" w:cs="Arial"/>
          <w:i/>
          <w:color w:val="365F91" w:themeColor="accent1" w:themeShade="BF"/>
        </w:rPr>
        <w:footnoteRef/>
      </w:r>
      <w:r w:rsidRPr="004815AC">
        <w:rPr>
          <w:rFonts w:ascii="Arial" w:hAnsi="Arial" w:cs="Arial"/>
          <w:i/>
          <w:color w:val="365F91" w:themeColor="accent1" w:themeShade="BF"/>
        </w:rPr>
        <w:t xml:space="preserve"> </w:t>
      </w:r>
      <w:r>
        <w:rPr>
          <w:rFonts w:ascii="Arial" w:hAnsi="Arial" w:cs="Arial"/>
          <w:i/>
          <w:color w:val="365F91" w:themeColor="accent1" w:themeShade="BF"/>
        </w:rPr>
        <w:tab/>
      </w:r>
      <w:r w:rsidRPr="004815AC">
        <w:rPr>
          <w:rFonts w:ascii="Arial" w:hAnsi="Arial" w:cs="Arial"/>
          <w:i/>
          <w:color w:val="365F91" w:themeColor="accent1" w:themeShade="BF"/>
        </w:rPr>
        <w:t>Prema odredbi članka 17. stavka 3. Zakona o financiranju političkih aktivnosti, izborne promidžbe i referenduma, knjigovodstvena vrijednost imovine utvrđuje se sukladno propisima o neprofitnom računovodstvu kao razlika nabavne vrijednosti i ispravka vrijednosti izračunanog prema stopama propisanim za izračun amortizacije dugotrajne imovine u neprofitnom računovodstvu.</w:t>
      </w:r>
    </w:p>
  </w:footnote>
  <w:footnote w:id="5">
    <w:p w:rsidR="004815AC" w:rsidRPr="00142B68" w:rsidRDefault="004815AC" w:rsidP="004815AC">
      <w:pPr>
        <w:pStyle w:val="Tekstfusnote"/>
        <w:ind w:left="426" w:hanging="426"/>
        <w:jc w:val="both"/>
        <w:rPr>
          <w:rFonts w:ascii="Arial" w:hAnsi="Arial" w:cs="Arial"/>
          <w:color w:val="0000CC"/>
        </w:rPr>
      </w:pPr>
      <w:r w:rsidRPr="004815AC">
        <w:rPr>
          <w:rFonts w:ascii="Arial" w:hAnsi="Arial" w:cs="Arial"/>
          <w:i/>
          <w:color w:val="365F91" w:themeColor="accent1" w:themeShade="BF"/>
          <w:vertAlign w:val="superscript"/>
        </w:rPr>
        <w:footnoteRef/>
      </w:r>
      <w:r w:rsidRPr="004815AC">
        <w:rPr>
          <w:rFonts w:ascii="Arial" w:hAnsi="Arial" w:cs="Arial"/>
          <w:i/>
          <w:color w:val="365F91" w:themeColor="accent1" w:themeShade="BF"/>
          <w:vertAlign w:val="superscript"/>
        </w:rPr>
        <w:t xml:space="preserve"> </w:t>
      </w:r>
      <w:r>
        <w:rPr>
          <w:rFonts w:ascii="Arial" w:hAnsi="Arial" w:cs="Arial"/>
          <w:i/>
          <w:color w:val="365F91" w:themeColor="accent1" w:themeShade="BF"/>
          <w:vertAlign w:val="superscript"/>
        </w:rPr>
        <w:tab/>
      </w:r>
      <w:r w:rsidRPr="004815AC">
        <w:rPr>
          <w:rFonts w:ascii="Arial" w:hAnsi="Arial" w:cs="Arial"/>
          <w:i/>
          <w:color w:val="365F91" w:themeColor="accent1" w:themeShade="BF"/>
        </w:rPr>
        <w:t>Opće društvene potrebe znače kulturne, znanstvene, odgojno-obrazovne, zdravstvene, humanitarne, sportske, vjerske, ekološke i druge opće korisne svrhe za fizičke i pravne osobe.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A0" w:rsidRDefault="00E20CA0">
    <w:pPr>
      <w:pStyle w:val="Zaglavlje"/>
      <w:jc w:val="center"/>
    </w:pPr>
  </w:p>
  <w:p w:rsidR="00E20CA0" w:rsidRDefault="00E20CA0">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670541"/>
      <w:docPartObj>
        <w:docPartGallery w:val="Page Numbers (Top of Page)"/>
        <w:docPartUnique/>
      </w:docPartObj>
    </w:sdtPr>
    <w:sdtEndPr/>
    <w:sdtContent>
      <w:p w:rsidR="007F5589" w:rsidRDefault="007F5589">
        <w:pPr>
          <w:pStyle w:val="Zaglavlje"/>
          <w:jc w:val="center"/>
        </w:pPr>
        <w:r w:rsidRPr="007F5589">
          <w:rPr>
            <w:color w:val="002060"/>
          </w:rPr>
          <w:fldChar w:fldCharType="begin"/>
        </w:r>
        <w:r w:rsidRPr="007F5589">
          <w:rPr>
            <w:color w:val="002060"/>
          </w:rPr>
          <w:instrText>PAGE   \* MERGEFORMAT</w:instrText>
        </w:r>
        <w:r w:rsidRPr="007F5589">
          <w:rPr>
            <w:color w:val="002060"/>
          </w:rPr>
          <w:fldChar w:fldCharType="separate"/>
        </w:r>
        <w:r w:rsidR="00507C28">
          <w:rPr>
            <w:noProof/>
            <w:color w:val="002060"/>
          </w:rPr>
          <w:t>6</w:t>
        </w:r>
        <w:r w:rsidRPr="007F5589">
          <w:rPr>
            <w:color w:val="002060"/>
          </w:rPr>
          <w:fldChar w:fldCharType="end"/>
        </w:r>
      </w:p>
    </w:sdtContent>
  </w:sdt>
  <w:p w:rsidR="007F5589" w:rsidRDefault="007F5589">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6E9"/>
    <w:multiLevelType w:val="hybridMultilevel"/>
    <w:tmpl w:val="66E27404"/>
    <w:lvl w:ilvl="0" w:tplc="8B5E405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EF3F74"/>
    <w:multiLevelType w:val="hybridMultilevel"/>
    <w:tmpl w:val="17F46F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161F41"/>
    <w:multiLevelType w:val="hybridMultilevel"/>
    <w:tmpl w:val="142C4784"/>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14C33295"/>
    <w:multiLevelType w:val="hybridMultilevel"/>
    <w:tmpl w:val="69B25F60"/>
    <w:lvl w:ilvl="0" w:tplc="041A000B">
      <w:start w:val="1"/>
      <w:numFmt w:val="bullet"/>
      <w:lvlText w:val=""/>
      <w:lvlJc w:val="left"/>
      <w:pPr>
        <w:ind w:left="927" w:hanging="360"/>
      </w:pPr>
      <w:rPr>
        <w:rFonts w:ascii="Wingdings" w:hAnsi="Wingdings"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4" w15:restartNumberingAfterBreak="0">
    <w:nsid w:val="1B346333"/>
    <w:multiLevelType w:val="hybridMultilevel"/>
    <w:tmpl w:val="C65436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972BDE"/>
    <w:multiLevelType w:val="hybridMultilevel"/>
    <w:tmpl w:val="4CFE3802"/>
    <w:lvl w:ilvl="0" w:tplc="F4006E4E">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30ED2E33"/>
    <w:multiLevelType w:val="hybridMultilevel"/>
    <w:tmpl w:val="2EF6F53E"/>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31EA0980"/>
    <w:multiLevelType w:val="hybridMultilevel"/>
    <w:tmpl w:val="4950D5D8"/>
    <w:lvl w:ilvl="0" w:tplc="165052A8">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4451D2"/>
    <w:multiLevelType w:val="hybridMultilevel"/>
    <w:tmpl w:val="3D680BF2"/>
    <w:lvl w:ilvl="0" w:tplc="F4006E4E">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45784417"/>
    <w:multiLevelType w:val="hybridMultilevel"/>
    <w:tmpl w:val="B24A74D6"/>
    <w:lvl w:ilvl="0" w:tplc="044E8FCA">
      <w:numFmt w:val="bullet"/>
      <w:lvlText w:val="-"/>
      <w:lvlJc w:val="left"/>
      <w:pPr>
        <w:ind w:left="3615" w:hanging="360"/>
      </w:pPr>
      <w:rPr>
        <w:rFonts w:ascii="Arial" w:eastAsia="Times New Roman" w:hAnsi="Arial" w:cs="Arial" w:hint="default"/>
      </w:rPr>
    </w:lvl>
    <w:lvl w:ilvl="1" w:tplc="041A0003" w:tentative="1">
      <w:start w:val="1"/>
      <w:numFmt w:val="bullet"/>
      <w:lvlText w:val="o"/>
      <w:lvlJc w:val="left"/>
      <w:pPr>
        <w:ind w:left="4335" w:hanging="360"/>
      </w:pPr>
      <w:rPr>
        <w:rFonts w:ascii="Courier New" w:hAnsi="Courier New" w:cs="Courier New" w:hint="default"/>
      </w:rPr>
    </w:lvl>
    <w:lvl w:ilvl="2" w:tplc="041A0005" w:tentative="1">
      <w:start w:val="1"/>
      <w:numFmt w:val="bullet"/>
      <w:lvlText w:val=""/>
      <w:lvlJc w:val="left"/>
      <w:pPr>
        <w:ind w:left="5055" w:hanging="360"/>
      </w:pPr>
      <w:rPr>
        <w:rFonts w:ascii="Wingdings" w:hAnsi="Wingdings" w:hint="default"/>
      </w:rPr>
    </w:lvl>
    <w:lvl w:ilvl="3" w:tplc="041A0001" w:tentative="1">
      <w:start w:val="1"/>
      <w:numFmt w:val="bullet"/>
      <w:lvlText w:val=""/>
      <w:lvlJc w:val="left"/>
      <w:pPr>
        <w:ind w:left="5775" w:hanging="360"/>
      </w:pPr>
      <w:rPr>
        <w:rFonts w:ascii="Symbol" w:hAnsi="Symbol" w:hint="default"/>
      </w:rPr>
    </w:lvl>
    <w:lvl w:ilvl="4" w:tplc="041A0003" w:tentative="1">
      <w:start w:val="1"/>
      <w:numFmt w:val="bullet"/>
      <w:lvlText w:val="o"/>
      <w:lvlJc w:val="left"/>
      <w:pPr>
        <w:ind w:left="6495" w:hanging="360"/>
      </w:pPr>
      <w:rPr>
        <w:rFonts w:ascii="Courier New" w:hAnsi="Courier New" w:cs="Courier New" w:hint="default"/>
      </w:rPr>
    </w:lvl>
    <w:lvl w:ilvl="5" w:tplc="041A0005" w:tentative="1">
      <w:start w:val="1"/>
      <w:numFmt w:val="bullet"/>
      <w:lvlText w:val=""/>
      <w:lvlJc w:val="left"/>
      <w:pPr>
        <w:ind w:left="7215" w:hanging="360"/>
      </w:pPr>
      <w:rPr>
        <w:rFonts w:ascii="Wingdings" w:hAnsi="Wingdings" w:hint="default"/>
      </w:rPr>
    </w:lvl>
    <w:lvl w:ilvl="6" w:tplc="041A0001" w:tentative="1">
      <w:start w:val="1"/>
      <w:numFmt w:val="bullet"/>
      <w:lvlText w:val=""/>
      <w:lvlJc w:val="left"/>
      <w:pPr>
        <w:ind w:left="7935" w:hanging="360"/>
      </w:pPr>
      <w:rPr>
        <w:rFonts w:ascii="Symbol" w:hAnsi="Symbol" w:hint="default"/>
      </w:rPr>
    </w:lvl>
    <w:lvl w:ilvl="7" w:tplc="041A0003" w:tentative="1">
      <w:start w:val="1"/>
      <w:numFmt w:val="bullet"/>
      <w:lvlText w:val="o"/>
      <w:lvlJc w:val="left"/>
      <w:pPr>
        <w:ind w:left="8655" w:hanging="360"/>
      </w:pPr>
      <w:rPr>
        <w:rFonts w:ascii="Courier New" w:hAnsi="Courier New" w:cs="Courier New" w:hint="default"/>
      </w:rPr>
    </w:lvl>
    <w:lvl w:ilvl="8" w:tplc="041A0005" w:tentative="1">
      <w:start w:val="1"/>
      <w:numFmt w:val="bullet"/>
      <w:lvlText w:val=""/>
      <w:lvlJc w:val="left"/>
      <w:pPr>
        <w:ind w:left="9375" w:hanging="360"/>
      </w:pPr>
      <w:rPr>
        <w:rFonts w:ascii="Wingdings" w:hAnsi="Wingdings" w:hint="default"/>
      </w:rPr>
    </w:lvl>
  </w:abstractNum>
  <w:abstractNum w:abstractNumId="10" w15:restartNumberingAfterBreak="0">
    <w:nsid w:val="48F362ED"/>
    <w:multiLevelType w:val="hybridMultilevel"/>
    <w:tmpl w:val="D08639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F6291C"/>
    <w:multiLevelType w:val="hybridMultilevel"/>
    <w:tmpl w:val="52668552"/>
    <w:lvl w:ilvl="0" w:tplc="A5461036">
      <w:start w:val="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515E58D0"/>
    <w:multiLevelType w:val="hybridMultilevel"/>
    <w:tmpl w:val="DAC2F354"/>
    <w:lvl w:ilvl="0" w:tplc="8B5E405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CB69FD"/>
    <w:multiLevelType w:val="hybridMultilevel"/>
    <w:tmpl w:val="D6F898A2"/>
    <w:lvl w:ilvl="0" w:tplc="041A000B">
      <w:start w:val="1"/>
      <w:numFmt w:val="bullet"/>
      <w:lvlText w:val=""/>
      <w:lvlJc w:val="left"/>
      <w:pPr>
        <w:ind w:left="1287" w:hanging="360"/>
      </w:pPr>
      <w:rPr>
        <w:rFonts w:ascii="Wingdings" w:hAnsi="Wingdings"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14" w15:restartNumberingAfterBreak="0">
    <w:nsid w:val="547A0213"/>
    <w:multiLevelType w:val="hybridMultilevel"/>
    <w:tmpl w:val="73E6BB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B">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FD21B9"/>
    <w:multiLevelType w:val="hybridMultilevel"/>
    <w:tmpl w:val="D2664B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86720B"/>
    <w:multiLevelType w:val="hybridMultilevel"/>
    <w:tmpl w:val="A6D4A8CA"/>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7" w15:restartNumberingAfterBreak="0">
    <w:nsid w:val="5FD83406"/>
    <w:multiLevelType w:val="hybridMultilevel"/>
    <w:tmpl w:val="657A50CC"/>
    <w:lvl w:ilvl="0" w:tplc="8FE6E27C">
      <w:numFmt w:val="bullet"/>
      <w:lvlText w:val="-"/>
      <w:lvlJc w:val="left"/>
      <w:pPr>
        <w:ind w:left="2052" w:hanging="360"/>
      </w:pPr>
      <w:rPr>
        <w:rFonts w:ascii="Arial" w:eastAsia="Times New Roman" w:hAnsi="Arial" w:cs="Arial" w:hint="default"/>
      </w:rPr>
    </w:lvl>
    <w:lvl w:ilvl="1" w:tplc="041A0003">
      <w:start w:val="1"/>
      <w:numFmt w:val="bullet"/>
      <w:lvlText w:val="o"/>
      <w:lvlJc w:val="left"/>
      <w:pPr>
        <w:ind w:left="2772" w:hanging="360"/>
      </w:pPr>
      <w:rPr>
        <w:rFonts w:ascii="Courier New" w:hAnsi="Courier New" w:cs="Courier New" w:hint="default"/>
      </w:rPr>
    </w:lvl>
    <w:lvl w:ilvl="2" w:tplc="041A0005">
      <w:start w:val="1"/>
      <w:numFmt w:val="bullet"/>
      <w:lvlText w:val=""/>
      <w:lvlJc w:val="left"/>
      <w:pPr>
        <w:ind w:left="3492" w:hanging="360"/>
      </w:pPr>
      <w:rPr>
        <w:rFonts w:ascii="Wingdings" w:hAnsi="Wingdings" w:hint="default"/>
      </w:rPr>
    </w:lvl>
    <w:lvl w:ilvl="3" w:tplc="041A0001">
      <w:start w:val="1"/>
      <w:numFmt w:val="bullet"/>
      <w:lvlText w:val=""/>
      <w:lvlJc w:val="left"/>
      <w:pPr>
        <w:ind w:left="4212" w:hanging="360"/>
      </w:pPr>
      <w:rPr>
        <w:rFonts w:ascii="Symbol" w:hAnsi="Symbol" w:hint="default"/>
      </w:rPr>
    </w:lvl>
    <w:lvl w:ilvl="4" w:tplc="041A0003">
      <w:start w:val="1"/>
      <w:numFmt w:val="bullet"/>
      <w:lvlText w:val="o"/>
      <w:lvlJc w:val="left"/>
      <w:pPr>
        <w:ind w:left="4932" w:hanging="360"/>
      </w:pPr>
      <w:rPr>
        <w:rFonts w:ascii="Courier New" w:hAnsi="Courier New" w:cs="Courier New" w:hint="default"/>
      </w:rPr>
    </w:lvl>
    <w:lvl w:ilvl="5" w:tplc="041A0005">
      <w:start w:val="1"/>
      <w:numFmt w:val="bullet"/>
      <w:lvlText w:val=""/>
      <w:lvlJc w:val="left"/>
      <w:pPr>
        <w:ind w:left="5652" w:hanging="360"/>
      </w:pPr>
      <w:rPr>
        <w:rFonts w:ascii="Wingdings" w:hAnsi="Wingdings" w:hint="default"/>
      </w:rPr>
    </w:lvl>
    <w:lvl w:ilvl="6" w:tplc="041A0001">
      <w:start w:val="1"/>
      <w:numFmt w:val="bullet"/>
      <w:lvlText w:val=""/>
      <w:lvlJc w:val="left"/>
      <w:pPr>
        <w:ind w:left="6372" w:hanging="360"/>
      </w:pPr>
      <w:rPr>
        <w:rFonts w:ascii="Symbol" w:hAnsi="Symbol" w:hint="default"/>
      </w:rPr>
    </w:lvl>
    <w:lvl w:ilvl="7" w:tplc="041A0003">
      <w:start w:val="1"/>
      <w:numFmt w:val="bullet"/>
      <w:lvlText w:val="o"/>
      <w:lvlJc w:val="left"/>
      <w:pPr>
        <w:ind w:left="7092" w:hanging="360"/>
      </w:pPr>
      <w:rPr>
        <w:rFonts w:ascii="Courier New" w:hAnsi="Courier New" w:cs="Courier New" w:hint="default"/>
      </w:rPr>
    </w:lvl>
    <w:lvl w:ilvl="8" w:tplc="041A0005">
      <w:start w:val="1"/>
      <w:numFmt w:val="bullet"/>
      <w:lvlText w:val=""/>
      <w:lvlJc w:val="left"/>
      <w:pPr>
        <w:ind w:left="7812" w:hanging="360"/>
      </w:pPr>
      <w:rPr>
        <w:rFonts w:ascii="Wingdings" w:hAnsi="Wingdings" w:hint="default"/>
      </w:rPr>
    </w:lvl>
  </w:abstractNum>
  <w:abstractNum w:abstractNumId="18" w15:restartNumberingAfterBreak="0">
    <w:nsid w:val="60E80027"/>
    <w:multiLevelType w:val="hybridMultilevel"/>
    <w:tmpl w:val="16422AF0"/>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9" w15:restartNumberingAfterBreak="0">
    <w:nsid w:val="64D8742B"/>
    <w:multiLevelType w:val="hybridMultilevel"/>
    <w:tmpl w:val="DADE0D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E410762"/>
    <w:multiLevelType w:val="hybridMultilevel"/>
    <w:tmpl w:val="E796E2F6"/>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1" w15:restartNumberingAfterBreak="0">
    <w:nsid w:val="78DF4825"/>
    <w:multiLevelType w:val="hybridMultilevel"/>
    <w:tmpl w:val="060AF530"/>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4"/>
  </w:num>
  <w:num w:numId="4">
    <w:abstractNumId w:val="9"/>
  </w:num>
  <w:num w:numId="5">
    <w:abstractNumId w:val="14"/>
  </w:num>
  <w:num w:numId="6">
    <w:abstractNumId w:val="11"/>
  </w:num>
  <w:num w:numId="7">
    <w:abstractNumId w:val="21"/>
  </w:num>
  <w:num w:numId="8">
    <w:abstractNumId w:val="10"/>
  </w:num>
  <w:num w:numId="9">
    <w:abstractNumId w:val="0"/>
  </w:num>
  <w:num w:numId="10">
    <w:abstractNumId w:val="12"/>
  </w:num>
  <w:num w:numId="11">
    <w:abstractNumId w:val="15"/>
  </w:num>
  <w:num w:numId="12">
    <w:abstractNumId w:val="1"/>
  </w:num>
  <w:num w:numId="13">
    <w:abstractNumId w:val="19"/>
  </w:num>
  <w:num w:numId="14">
    <w:abstractNumId w:val="3"/>
  </w:num>
  <w:num w:numId="15">
    <w:abstractNumId w:val="17"/>
  </w:num>
  <w:num w:numId="16">
    <w:abstractNumId w:val="13"/>
  </w:num>
  <w:num w:numId="17">
    <w:abstractNumId w:val="7"/>
  </w:num>
  <w:num w:numId="18">
    <w:abstractNumId w:val="16"/>
  </w:num>
  <w:num w:numId="19">
    <w:abstractNumId w:val="6"/>
  </w:num>
  <w:num w:numId="20">
    <w:abstractNumId w:val="2"/>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C7"/>
    <w:rsid w:val="00014AD7"/>
    <w:rsid w:val="000169C9"/>
    <w:rsid w:val="0003596D"/>
    <w:rsid w:val="00041A88"/>
    <w:rsid w:val="00045E55"/>
    <w:rsid w:val="0004689E"/>
    <w:rsid w:val="000529CA"/>
    <w:rsid w:val="00066959"/>
    <w:rsid w:val="00075E5A"/>
    <w:rsid w:val="000800A9"/>
    <w:rsid w:val="000B2553"/>
    <w:rsid w:val="000C0B18"/>
    <w:rsid w:val="000C5A6A"/>
    <w:rsid w:val="000C63FC"/>
    <w:rsid w:val="000E1587"/>
    <w:rsid w:val="001043C2"/>
    <w:rsid w:val="0013031B"/>
    <w:rsid w:val="0013306C"/>
    <w:rsid w:val="00155A74"/>
    <w:rsid w:val="00157D80"/>
    <w:rsid w:val="00176450"/>
    <w:rsid w:val="00185233"/>
    <w:rsid w:val="00187C23"/>
    <w:rsid w:val="00196D8A"/>
    <w:rsid w:val="001A7479"/>
    <w:rsid w:val="001B5C25"/>
    <w:rsid w:val="001B5E4A"/>
    <w:rsid w:val="001C6039"/>
    <w:rsid w:val="001E632C"/>
    <w:rsid w:val="00200F36"/>
    <w:rsid w:val="00212168"/>
    <w:rsid w:val="00226E8A"/>
    <w:rsid w:val="0022727D"/>
    <w:rsid w:val="00227BBB"/>
    <w:rsid w:val="00230D22"/>
    <w:rsid w:val="00246552"/>
    <w:rsid w:val="002565E9"/>
    <w:rsid w:val="00272AC7"/>
    <w:rsid w:val="002B24AE"/>
    <w:rsid w:val="002C3803"/>
    <w:rsid w:val="002C5E28"/>
    <w:rsid w:val="002D3027"/>
    <w:rsid w:val="002F151A"/>
    <w:rsid w:val="002F48A8"/>
    <w:rsid w:val="00304CDC"/>
    <w:rsid w:val="00305E6A"/>
    <w:rsid w:val="003258F4"/>
    <w:rsid w:val="003403E8"/>
    <w:rsid w:val="003463B4"/>
    <w:rsid w:val="003602C4"/>
    <w:rsid w:val="003735D0"/>
    <w:rsid w:val="0037642D"/>
    <w:rsid w:val="003A0DF2"/>
    <w:rsid w:val="003A4396"/>
    <w:rsid w:val="003B0700"/>
    <w:rsid w:val="003C024D"/>
    <w:rsid w:val="003E123E"/>
    <w:rsid w:val="003F2979"/>
    <w:rsid w:val="0042500D"/>
    <w:rsid w:val="004428E4"/>
    <w:rsid w:val="00477439"/>
    <w:rsid w:val="00477F15"/>
    <w:rsid w:val="0048041D"/>
    <w:rsid w:val="004815AC"/>
    <w:rsid w:val="004A3994"/>
    <w:rsid w:val="004A5F64"/>
    <w:rsid w:val="004B2564"/>
    <w:rsid w:val="004B69A1"/>
    <w:rsid w:val="004C092A"/>
    <w:rsid w:val="004C7A08"/>
    <w:rsid w:val="004E01CA"/>
    <w:rsid w:val="004E618E"/>
    <w:rsid w:val="004F294F"/>
    <w:rsid w:val="00501F70"/>
    <w:rsid w:val="00507C28"/>
    <w:rsid w:val="005176CE"/>
    <w:rsid w:val="00526DA7"/>
    <w:rsid w:val="00532349"/>
    <w:rsid w:val="00537FB8"/>
    <w:rsid w:val="0054283F"/>
    <w:rsid w:val="005504DC"/>
    <w:rsid w:val="00572F09"/>
    <w:rsid w:val="00576D45"/>
    <w:rsid w:val="0058511D"/>
    <w:rsid w:val="005C4F25"/>
    <w:rsid w:val="005D35C2"/>
    <w:rsid w:val="005F0C0A"/>
    <w:rsid w:val="006052DC"/>
    <w:rsid w:val="00613AC2"/>
    <w:rsid w:val="00614EC5"/>
    <w:rsid w:val="00620650"/>
    <w:rsid w:val="00623AA4"/>
    <w:rsid w:val="00655C94"/>
    <w:rsid w:val="00666AC5"/>
    <w:rsid w:val="00667C96"/>
    <w:rsid w:val="006870BE"/>
    <w:rsid w:val="006A4C6E"/>
    <w:rsid w:val="006C09A8"/>
    <w:rsid w:val="006C1878"/>
    <w:rsid w:val="006C2943"/>
    <w:rsid w:val="006C36F8"/>
    <w:rsid w:val="006C7D08"/>
    <w:rsid w:val="006D4C2C"/>
    <w:rsid w:val="006D5AA5"/>
    <w:rsid w:val="006E3097"/>
    <w:rsid w:val="007078A8"/>
    <w:rsid w:val="00721745"/>
    <w:rsid w:val="00772822"/>
    <w:rsid w:val="00790898"/>
    <w:rsid w:val="007A7E31"/>
    <w:rsid w:val="007F3CB7"/>
    <w:rsid w:val="007F4FD9"/>
    <w:rsid w:val="007F5589"/>
    <w:rsid w:val="00807B8B"/>
    <w:rsid w:val="008472FE"/>
    <w:rsid w:val="008646BD"/>
    <w:rsid w:val="008856BB"/>
    <w:rsid w:val="008C737C"/>
    <w:rsid w:val="008F0CA4"/>
    <w:rsid w:val="0091219F"/>
    <w:rsid w:val="009309F1"/>
    <w:rsid w:val="009321A2"/>
    <w:rsid w:val="009407DF"/>
    <w:rsid w:val="00967687"/>
    <w:rsid w:val="00970DEE"/>
    <w:rsid w:val="00982DF5"/>
    <w:rsid w:val="009B41E5"/>
    <w:rsid w:val="009B6C95"/>
    <w:rsid w:val="009B7873"/>
    <w:rsid w:val="009C07CA"/>
    <w:rsid w:val="009D70FF"/>
    <w:rsid w:val="009E61C3"/>
    <w:rsid w:val="009E7547"/>
    <w:rsid w:val="00A3536F"/>
    <w:rsid w:val="00A538E6"/>
    <w:rsid w:val="00A74233"/>
    <w:rsid w:val="00A82DFA"/>
    <w:rsid w:val="00A87E89"/>
    <w:rsid w:val="00A9115F"/>
    <w:rsid w:val="00A94617"/>
    <w:rsid w:val="00AB526A"/>
    <w:rsid w:val="00AD7C65"/>
    <w:rsid w:val="00B00BD3"/>
    <w:rsid w:val="00B21E8F"/>
    <w:rsid w:val="00B25AE5"/>
    <w:rsid w:val="00B26ED2"/>
    <w:rsid w:val="00B27E95"/>
    <w:rsid w:val="00B31297"/>
    <w:rsid w:val="00B32FB6"/>
    <w:rsid w:val="00B44674"/>
    <w:rsid w:val="00B840B2"/>
    <w:rsid w:val="00BC2275"/>
    <w:rsid w:val="00BE5197"/>
    <w:rsid w:val="00BF171B"/>
    <w:rsid w:val="00C05EDE"/>
    <w:rsid w:val="00C0615E"/>
    <w:rsid w:val="00C0643C"/>
    <w:rsid w:val="00C1322D"/>
    <w:rsid w:val="00C17BB3"/>
    <w:rsid w:val="00C224A1"/>
    <w:rsid w:val="00C413F0"/>
    <w:rsid w:val="00C47E56"/>
    <w:rsid w:val="00C61A31"/>
    <w:rsid w:val="00C644AC"/>
    <w:rsid w:val="00C6565D"/>
    <w:rsid w:val="00C708A3"/>
    <w:rsid w:val="00C80064"/>
    <w:rsid w:val="00C91D0B"/>
    <w:rsid w:val="00CB1D3B"/>
    <w:rsid w:val="00D00158"/>
    <w:rsid w:val="00D300ED"/>
    <w:rsid w:val="00D87469"/>
    <w:rsid w:val="00DB316D"/>
    <w:rsid w:val="00DC3CC8"/>
    <w:rsid w:val="00DC6877"/>
    <w:rsid w:val="00DD2B74"/>
    <w:rsid w:val="00DF1D03"/>
    <w:rsid w:val="00E05033"/>
    <w:rsid w:val="00E20CA0"/>
    <w:rsid w:val="00E30FC0"/>
    <w:rsid w:val="00E35F44"/>
    <w:rsid w:val="00E649C3"/>
    <w:rsid w:val="00E65842"/>
    <w:rsid w:val="00EA096C"/>
    <w:rsid w:val="00EA275A"/>
    <w:rsid w:val="00EB5A10"/>
    <w:rsid w:val="00EC28DA"/>
    <w:rsid w:val="00EF755E"/>
    <w:rsid w:val="00F12F39"/>
    <w:rsid w:val="00F141C9"/>
    <w:rsid w:val="00F53AA3"/>
    <w:rsid w:val="00F62D84"/>
    <w:rsid w:val="00F656D2"/>
    <w:rsid w:val="00F716C8"/>
    <w:rsid w:val="00F84691"/>
    <w:rsid w:val="00F86DFC"/>
    <w:rsid w:val="00F87D9F"/>
    <w:rsid w:val="00FA3102"/>
    <w:rsid w:val="00FB3FB1"/>
    <w:rsid w:val="00FC5007"/>
    <w:rsid w:val="00FE029F"/>
    <w:rsid w:val="00FE1470"/>
    <w:rsid w:val="00FF73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1B448"/>
  <w15:docId w15:val="{F9883A9A-F925-403E-8E89-5DBA1FB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72AC7"/>
    <w:rPr>
      <w:rFonts w:ascii="Tahoma" w:hAnsi="Tahoma" w:cs="Tahoma"/>
      <w:sz w:val="16"/>
      <w:szCs w:val="16"/>
    </w:rPr>
  </w:style>
  <w:style w:type="character" w:customStyle="1" w:styleId="TekstbaloniaChar">
    <w:name w:val="Tekst balončića Char"/>
    <w:basedOn w:val="Zadanifontodlomka"/>
    <w:link w:val="Tekstbalonia"/>
    <w:uiPriority w:val="99"/>
    <w:semiHidden/>
    <w:rsid w:val="00272AC7"/>
    <w:rPr>
      <w:rFonts w:ascii="Tahoma" w:hAnsi="Tahoma" w:cs="Tahoma"/>
      <w:sz w:val="16"/>
      <w:szCs w:val="16"/>
    </w:rPr>
  </w:style>
  <w:style w:type="paragraph" w:styleId="Odlomakpopisa">
    <w:name w:val="List Paragraph"/>
    <w:basedOn w:val="Normal"/>
    <w:uiPriority w:val="99"/>
    <w:qFormat/>
    <w:rsid w:val="00227BBB"/>
    <w:pPr>
      <w:ind w:left="720"/>
      <w:contextualSpacing/>
    </w:pPr>
  </w:style>
  <w:style w:type="character" w:styleId="Hiperveza">
    <w:name w:val="Hyperlink"/>
    <w:basedOn w:val="Zadanifontodlomka"/>
    <w:uiPriority w:val="99"/>
    <w:unhideWhenUsed/>
    <w:rsid w:val="008646BD"/>
    <w:rPr>
      <w:color w:val="0000FF" w:themeColor="hyperlink"/>
      <w:u w:val="single"/>
    </w:rPr>
  </w:style>
  <w:style w:type="character" w:styleId="SlijeenaHiperveza">
    <w:name w:val="FollowedHyperlink"/>
    <w:basedOn w:val="Zadanifontodlomka"/>
    <w:uiPriority w:val="99"/>
    <w:semiHidden/>
    <w:unhideWhenUsed/>
    <w:rsid w:val="006C2943"/>
    <w:rPr>
      <w:color w:val="800080" w:themeColor="followedHyperlink"/>
      <w:u w:val="single"/>
    </w:rPr>
  </w:style>
  <w:style w:type="paragraph" w:styleId="Zaglavlje">
    <w:name w:val="header"/>
    <w:basedOn w:val="Normal"/>
    <w:link w:val="ZaglavljeChar"/>
    <w:uiPriority w:val="99"/>
    <w:unhideWhenUsed/>
    <w:rsid w:val="00BE5197"/>
    <w:pPr>
      <w:tabs>
        <w:tab w:val="center" w:pos="4536"/>
        <w:tab w:val="right" w:pos="9072"/>
      </w:tabs>
    </w:pPr>
  </w:style>
  <w:style w:type="character" w:customStyle="1" w:styleId="ZaglavljeChar">
    <w:name w:val="Zaglavlje Char"/>
    <w:basedOn w:val="Zadanifontodlomka"/>
    <w:link w:val="Zaglavlje"/>
    <w:uiPriority w:val="99"/>
    <w:rsid w:val="00BE5197"/>
  </w:style>
  <w:style w:type="paragraph" w:styleId="Podnoje">
    <w:name w:val="footer"/>
    <w:basedOn w:val="Normal"/>
    <w:link w:val="PodnojeChar"/>
    <w:uiPriority w:val="99"/>
    <w:unhideWhenUsed/>
    <w:rsid w:val="00BE5197"/>
    <w:pPr>
      <w:tabs>
        <w:tab w:val="center" w:pos="4536"/>
        <w:tab w:val="right" w:pos="9072"/>
      </w:tabs>
    </w:pPr>
  </w:style>
  <w:style w:type="character" w:customStyle="1" w:styleId="PodnojeChar">
    <w:name w:val="Podnožje Char"/>
    <w:basedOn w:val="Zadanifontodlomka"/>
    <w:link w:val="Podnoje"/>
    <w:uiPriority w:val="99"/>
    <w:rsid w:val="00BE5197"/>
  </w:style>
  <w:style w:type="table" w:styleId="Reetkatablice">
    <w:name w:val="Table Grid"/>
    <w:basedOn w:val="Obinatablica"/>
    <w:uiPriority w:val="59"/>
    <w:rsid w:val="00BF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C0643C"/>
    <w:pPr>
      <w:jc w:val="left"/>
    </w:pPr>
    <w:rPr>
      <w:rFonts w:asciiTheme="minorHAnsi" w:hAnsiTheme="minorHAnsi"/>
      <w:sz w:val="20"/>
      <w:szCs w:val="20"/>
    </w:rPr>
  </w:style>
  <w:style w:type="character" w:customStyle="1" w:styleId="TekstfusnoteChar">
    <w:name w:val="Tekst fusnote Char"/>
    <w:basedOn w:val="Zadanifontodlomka"/>
    <w:link w:val="Tekstfusnote"/>
    <w:uiPriority w:val="99"/>
    <w:rsid w:val="00C0643C"/>
    <w:rPr>
      <w:rFonts w:asciiTheme="minorHAnsi" w:hAnsiTheme="minorHAnsi"/>
      <w:sz w:val="20"/>
      <w:szCs w:val="20"/>
    </w:rPr>
  </w:style>
  <w:style w:type="character" w:styleId="Referencakomentara">
    <w:name w:val="annotation reference"/>
    <w:basedOn w:val="Zadanifontodlomka"/>
    <w:uiPriority w:val="99"/>
    <w:semiHidden/>
    <w:unhideWhenUsed/>
    <w:rsid w:val="00A9115F"/>
    <w:rPr>
      <w:sz w:val="16"/>
      <w:szCs w:val="16"/>
    </w:rPr>
  </w:style>
  <w:style w:type="paragraph" w:styleId="Tekstkomentara">
    <w:name w:val="annotation text"/>
    <w:basedOn w:val="Normal"/>
    <w:link w:val="TekstkomentaraChar"/>
    <w:uiPriority w:val="99"/>
    <w:semiHidden/>
    <w:unhideWhenUsed/>
    <w:rsid w:val="00A9115F"/>
    <w:rPr>
      <w:sz w:val="20"/>
      <w:szCs w:val="20"/>
    </w:rPr>
  </w:style>
  <w:style w:type="character" w:customStyle="1" w:styleId="TekstkomentaraChar">
    <w:name w:val="Tekst komentara Char"/>
    <w:basedOn w:val="Zadanifontodlomka"/>
    <w:link w:val="Tekstkomentara"/>
    <w:uiPriority w:val="99"/>
    <w:semiHidden/>
    <w:rsid w:val="00A9115F"/>
    <w:rPr>
      <w:sz w:val="20"/>
      <w:szCs w:val="20"/>
    </w:rPr>
  </w:style>
  <w:style w:type="paragraph" w:styleId="Predmetkomentara">
    <w:name w:val="annotation subject"/>
    <w:basedOn w:val="Tekstkomentara"/>
    <w:next w:val="Tekstkomentara"/>
    <w:link w:val="PredmetkomentaraChar"/>
    <w:uiPriority w:val="99"/>
    <w:semiHidden/>
    <w:unhideWhenUsed/>
    <w:rsid w:val="00A9115F"/>
    <w:rPr>
      <w:b/>
      <w:bCs/>
    </w:rPr>
  </w:style>
  <w:style w:type="character" w:customStyle="1" w:styleId="PredmetkomentaraChar">
    <w:name w:val="Predmet komentara Char"/>
    <w:basedOn w:val="TekstkomentaraChar"/>
    <w:link w:val="Predmetkomentara"/>
    <w:uiPriority w:val="99"/>
    <w:semiHidden/>
    <w:rsid w:val="00A9115F"/>
    <w:rPr>
      <w:b/>
      <w:bCs/>
      <w:sz w:val="20"/>
      <w:szCs w:val="20"/>
    </w:rPr>
  </w:style>
  <w:style w:type="character" w:styleId="Referencafusnote">
    <w:name w:val="footnote reference"/>
    <w:basedOn w:val="Zadanifontodlomka"/>
    <w:uiPriority w:val="99"/>
    <w:semiHidden/>
    <w:unhideWhenUsed/>
    <w:rsid w:val="002C3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zbori.hr/si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oliticke.aktivnosti@revizij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in.gov.hr/istaknute-teme/neprofitne-organizacije/106" TargetMode="External"/><Relationship Id="rId5" Type="http://schemas.openxmlformats.org/officeDocument/2006/relationships/webSettings" Target="webSettings.xml"/><Relationship Id="rId15" Type="http://schemas.openxmlformats.org/officeDocument/2006/relationships/hyperlink" Target="mailto:politicke.aktivnosti@revizija.hr" TargetMode="External"/><Relationship Id="rId10" Type="http://schemas.openxmlformats.org/officeDocument/2006/relationships/hyperlink" Target="http://www.revizija.hr/hr/stranke-zastupnici-vijecnic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zbori.hr/site/nadzor-financiranja/redovito-financiranje/nadzor-redovitog-financiranja-politickih-aktivnosti-1999/199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6E935-00DF-4EFA-8D3D-A1E50B43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14134</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martinko</dc:creator>
  <cp:lastModifiedBy>sanja martinko</cp:lastModifiedBy>
  <cp:revision>2</cp:revision>
  <cp:lastPrinted>2020-02-27T13:16:00Z</cp:lastPrinted>
  <dcterms:created xsi:type="dcterms:W3CDTF">2020-02-28T10:03:00Z</dcterms:created>
  <dcterms:modified xsi:type="dcterms:W3CDTF">2020-02-28T10:03:00Z</dcterms:modified>
</cp:coreProperties>
</file>